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1CCAA754" w:rsidR="00C202E7" w:rsidRDefault="00032DE6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2a, 2b. </w:t>
            </w:r>
            <w:r w:rsidR="00C616D0" w:rsidRPr="00C616D0">
              <w:rPr>
                <w:rFonts w:ascii="Arial" w:hAnsi="Arial" w:cs="Arial"/>
              </w:rPr>
              <w:t>Dynamic DHW Test – DHW dynamic flow rates.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22DB0CA7" w:rsidR="00C202E7" w:rsidRDefault="00436B54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19. </w:t>
            </w:r>
            <w:r w:rsidRPr="00436B54">
              <w:rPr>
                <w:rFonts w:ascii="Arial" w:hAnsi="Arial" w:cs="Arial"/>
              </w:rPr>
              <w:t>DHW Flowrate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56786555" w:rsidR="00C202E7" w:rsidRDefault="00436B54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Martin Crane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62C0115A" w:rsidR="00C202E7" w:rsidRDefault="00436B54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036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5AB1E112" w:rsidR="00C202E7" w:rsidRDefault="00436B54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27/08/20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74964F5B" w:rsidR="00C202E7" w:rsidRDefault="00436B54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Approach</w:t>
            </w:r>
          </w:p>
          <w:p w14:paraId="3A410135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AD81FD9" w14:textId="76E13B89" w:rsidR="00C202E7" w:rsidRDefault="00F0589E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retain the DHW dynamic flow rates at 0.06 l/s (10 kW), 0.10 l/s (17 kW) and 0.13 l/s (22 kW)</w:t>
            </w:r>
            <w:r w:rsidR="00EE3AC4">
              <w:rPr>
                <w:rFonts w:ascii="Arial" w:hAnsi="Arial" w:cs="Arial"/>
              </w:rPr>
              <w:t xml:space="preserve">. Note the power outputs </w:t>
            </w:r>
            <w:r w:rsidR="009B4B5D">
              <w:rPr>
                <w:rFonts w:ascii="Arial" w:hAnsi="Arial" w:cs="Arial"/>
              </w:rPr>
              <w:t>correspond to</w:t>
            </w:r>
            <w:r w:rsidR="00EE3AC4">
              <w:rPr>
                <w:rFonts w:ascii="Arial" w:hAnsi="Arial" w:cs="Arial"/>
              </w:rPr>
              <w:t xml:space="preserve"> a 50 °C set point. </w:t>
            </w:r>
          </w:p>
          <w:p w14:paraId="004AC09F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4ECC3FBE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Rationale (underlying basis for assumption)</w:t>
            </w:r>
          </w:p>
          <w:p w14:paraId="01DF4C9C" w14:textId="39B1D332" w:rsidR="00C202E7" w:rsidRDefault="00C202E7" w:rsidP="00A34020">
            <w:pPr>
              <w:rPr>
                <w:rFonts w:ascii="Arial" w:hAnsi="Arial" w:cs="Arial"/>
              </w:rPr>
            </w:pPr>
          </w:p>
          <w:p w14:paraId="75FFE53A" w14:textId="53DF1649" w:rsidR="003E21A0" w:rsidRDefault="003E21A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See Technical Note 002. </w:t>
            </w:r>
          </w:p>
          <w:p w14:paraId="3066E3B5" w14:textId="763A73E3" w:rsidR="003E21A0" w:rsidRDefault="003E21A0" w:rsidP="00A34020">
            <w:pPr>
              <w:rPr>
                <w:rFonts w:ascii="Arial" w:hAnsi="Arial" w:cs="Arial"/>
              </w:rPr>
            </w:pPr>
          </w:p>
          <w:p w14:paraId="3B7CC333" w14:textId="40A42AB8" w:rsidR="003E21A0" w:rsidRDefault="003E21A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</w:t>
            </w:r>
            <w:r w:rsidR="003E7042">
              <w:rPr>
                <w:rFonts w:ascii="Arial" w:hAnsi="Arial" w:cs="Arial"/>
              </w:rPr>
              <w:t xml:space="preserve">outputs are low in comparison to the peak DHW outputs of a HIU, however reflect well on typical DHW usage for all but running a bath. </w:t>
            </w:r>
          </w:p>
          <w:p w14:paraId="5ADF049B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C09124" w14:textId="59FCBC5A" w:rsidR="00C202E7" w:rsidRDefault="00B462FE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Retaining the current test basis keeps historic and future testing comparable</w:t>
            </w:r>
            <w:r w:rsidR="00D41F26">
              <w:rPr>
                <w:rFonts w:ascii="Arial" w:hAnsi="Arial" w:cs="Arial"/>
              </w:rPr>
              <w:t xml:space="preserve">. </w:t>
            </w:r>
            <w:r w:rsidR="005755F4">
              <w:rPr>
                <w:rFonts w:ascii="Arial" w:hAnsi="Arial" w:cs="Arial"/>
              </w:rPr>
              <w:t xml:space="preserve">No grounds were found to change the </w:t>
            </w:r>
            <w:r w:rsidR="00F00D45">
              <w:rPr>
                <w:rFonts w:ascii="Arial" w:hAnsi="Arial" w:cs="Arial"/>
              </w:rPr>
              <w:t xml:space="preserve">current test basis, as increasing the DHW output is likely to </w:t>
            </w:r>
            <w:r w:rsidR="001608D1" w:rsidRPr="001608D1">
              <w:rPr>
                <w:rFonts w:ascii="Arial" w:hAnsi="Arial" w:cs="Arial"/>
              </w:rPr>
              <w:t>require considerations of the nominal maximum DHW output of the HIU</w:t>
            </w:r>
            <w:r w:rsidR="00F40F43">
              <w:rPr>
                <w:rFonts w:ascii="Arial" w:hAnsi="Arial" w:cs="Arial"/>
              </w:rPr>
              <w:t xml:space="preserve">, </w:t>
            </w:r>
            <w:r w:rsidR="001608D1" w:rsidRPr="001608D1">
              <w:rPr>
                <w:rFonts w:ascii="Arial" w:hAnsi="Arial" w:cs="Arial"/>
              </w:rPr>
              <w:t xml:space="preserve">which will increase the </w:t>
            </w:r>
            <w:r w:rsidR="00F40F43">
              <w:rPr>
                <w:rFonts w:ascii="Arial" w:hAnsi="Arial" w:cs="Arial"/>
              </w:rPr>
              <w:t>t</w:t>
            </w:r>
            <w:r w:rsidR="001608D1" w:rsidRPr="001608D1">
              <w:rPr>
                <w:rFonts w:ascii="Arial" w:hAnsi="Arial" w:cs="Arial"/>
              </w:rPr>
              <w:t>est complexity if separate test for different sized HIU are then required.</w:t>
            </w: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5AB7467D" w14:textId="5520FDF6" w:rsidR="00C202E7" w:rsidRDefault="00D41F26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4418215F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682BE847" w:rsidR="00C202E7" w:rsidRDefault="00F40F4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27/08/2020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3C7E03B4" w:rsidR="00C202E7" w:rsidRDefault="00F40F4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26ECA0C3" w:rsidR="00C202E7" w:rsidRDefault="00F40F4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Signed-off</w:t>
            </w:r>
          </w:p>
        </w:tc>
        <w:tc>
          <w:tcPr>
            <w:tcW w:w="5103" w:type="dxa"/>
          </w:tcPr>
          <w:p w14:paraId="55E89285" w14:textId="5689F6F9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 </w:t>
            </w:r>
            <w:bookmarkStart w:id="1" w:name="_GoBack"/>
            <w:bookmarkEnd w:id="1"/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ECAEA" w14:textId="77777777" w:rsidR="002A21FC" w:rsidRDefault="002A21FC" w:rsidP="00BC4C68">
      <w:r>
        <w:separator/>
      </w:r>
    </w:p>
  </w:endnote>
  <w:endnote w:type="continuationSeparator" w:id="0">
    <w:p w14:paraId="5E5F7A60" w14:textId="77777777" w:rsidR="002A21FC" w:rsidRDefault="002A21FC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D2E86" w14:textId="77777777" w:rsidR="002A21FC" w:rsidRDefault="002A21FC" w:rsidP="00BC4C68">
      <w:r>
        <w:separator/>
      </w:r>
    </w:p>
  </w:footnote>
  <w:footnote w:type="continuationSeparator" w:id="0">
    <w:p w14:paraId="17D5764D" w14:textId="77777777" w:rsidR="002A21FC" w:rsidRDefault="002A21FC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32DE6"/>
    <w:rsid w:val="00041EA2"/>
    <w:rsid w:val="000B6627"/>
    <w:rsid w:val="000D351C"/>
    <w:rsid w:val="00113625"/>
    <w:rsid w:val="00124F5A"/>
    <w:rsid w:val="00126DD1"/>
    <w:rsid w:val="001608D1"/>
    <w:rsid w:val="001742AF"/>
    <w:rsid w:val="00185FE7"/>
    <w:rsid w:val="001C7692"/>
    <w:rsid w:val="001F16C2"/>
    <w:rsid w:val="002A21FC"/>
    <w:rsid w:val="002A40F0"/>
    <w:rsid w:val="002F2994"/>
    <w:rsid w:val="003005F8"/>
    <w:rsid w:val="003067CE"/>
    <w:rsid w:val="003130A5"/>
    <w:rsid w:val="003171CA"/>
    <w:rsid w:val="0034504D"/>
    <w:rsid w:val="00345E14"/>
    <w:rsid w:val="003922A7"/>
    <w:rsid w:val="003B43A1"/>
    <w:rsid w:val="003E21A0"/>
    <w:rsid w:val="003E3E08"/>
    <w:rsid w:val="003E7042"/>
    <w:rsid w:val="00410041"/>
    <w:rsid w:val="00436B54"/>
    <w:rsid w:val="00464649"/>
    <w:rsid w:val="00482724"/>
    <w:rsid w:val="004B6299"/>
    <w:rsid w:val="004E1CEE"/>
    <w:rsid w:val="004E7934"/>
    <w:rsid w:val="004F5D6E"/>
    <w:rsid w:val="00502AE9"/>
    <w:rsid w:val="00535669"/>
    <w:rsid w:val="0055179B"/>
    <w:rsid w:val="00556BA2"/>
    <w:rsid w:val="005720DB"/>
    <w:rsid w:val="005755F4"/>
    <w:rsid w:val="005D5F24"/>
    <w:rsid w:val="005D672B"/>
    <w:rsid w:val="005F044A"/>
    <w:rsid w:val="00673A4B"/>
    <w:rsid w:val="00696C33"/>
    <w:rsid w:val="00700B3C"/>
    <w:rsid w:val="00716E85"/>
    <w:rsid w:val="00786904"/>
    <w:rsid w:val="007B2C28"/>
    <w:rsid w:val="007C628E"/>
    <w:rsid w:val="00811B91"/>
    <w:rsid w:val="00830790"/>
    <w:rsid w:val="00873AD2"/>
    <w:rsid w:val="00880F85"/>
    <w:rsid w:val="008903AA"/>
    <w:rsid w:val="008B3162"/>
    <w:rsid w:val="008D0B74"/>
    <w:rsid w:val="0096016F"/>
    <w:rsid w:val="00962FEC"/>
    <w:rsid w:val="009838D8"/>
    <w:rsid w:val="009860AC"/>
    <w:rsid w:val="009B4B5D"/>
    <w:rsid w:val="009F3A21"/>
    <w:rsid w:val="00A0152F"/>
    <w:rsid w:val="00A91A26"/>
    <w:rsid w:val="00AF28F0"/>
    <w:rsid w:val="00B11A68"/>
    <w:rsid w:val="00B462FE"/>
    <w:rsid w:val="00BC4C68"/>
    <w:rsid w:val="00C03342"/>
    <w:rsid w:val="00C202E7"/>
    <w:rsid w:val="00C616D0"/>
    <w:rsid w:val="00C816E1"/>
    <w:rsid w:val="00CC1E74"/>
    <w:rsid w:val="00CE5A21"/>
    <w:rsid w:val="00D41F26"/>
    <w:rsid w:val="00D92513"/>
    <w:rsid w:val="00E36D48"/>
    <w:rsid w:val="00ED1844"/>
    <w:rsid w:val="00EE3AC4"/>
    <w:rsid w:val="00EF6D8D"/>
    <w:rsid w:val="00F00D45"/>
    <w:rsid w:val="00F0589E"/>
    <w:rsid w:val="00F40F43"/>
    <w:rsid w:val="00F842AC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F44116D-CF5C-463D-9888-07ACC713F37D}"/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AE65A6-11E5-4E25-9738-C3BB35992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 Sherburn</cp:lastModifiedBy>
  <cp:revision>16</cp:revision>
  <dcterms:created xsi:type="dcterms:W3CDTF">2020-09-22T09:29:00Z</dcterms:created>
  <dcterms:modified xsi:type="dcterms:W3CDTF">2020-09-27T19:33:00Z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