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D92513" w:rsidP="00113625" w:rsidRDefault="00D92513" w14:paraId="4C9226AF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25362270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661029C9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Pr="00113625" w:rsidR="00113625" w:rsidP="00113625" w:rsidRDefault="00D92513" w14:paraId="43D5B16A" w14:textId="28D3F2A3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7D1D763A">
        <w:rPr/>
        <w:t/>
      </w:r>
    </w:p>
    <w:p w:rsidRPr="003B43A1" w:rsidR="00D92513" w:rsidP="003B43A1" w:rsidRDefault="00124F5A" w14:paraId="492EC457" w14:textId="17CEE099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7D1D763A" w14:paraId="2E3CF40E" w14:textId="77777777">
        <w:tc>
          <w:tcPr>
            <w:tcW w:w="3003" w:type="dxa"/>
            <w:tcMar/>
          </w:tcPr>
          <w:p w:rsidRPr="00C202E7" w:rsidR="00C202E7" w:rsidP="00007E9F" w:rsidRDefault="00C202E7" w14:paraId="344D4C43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  <w:tcMar/>
          </w:tcPr>
          <w:p w:rsidR="00C202E7" w:rsidP="00007E9F" w:rsidRDefault="00974471" w14:paraId="14738188" w14:textId="58149D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72CAE" w:rsidR="00372CAE">
              <w:rPr>
                <w:rFonts w:ascii="Arial" w:hAnsi="Arial" w:cs="Arial"/>
              </w:rPr>
              <w:t>a</w:t>
            </w:r>
            <w:r w:rsidR="004D49CD">
              <w:rPr>
                <w:rFonts w:ascii="Arial" w:hAnsi="Arial" w:cs="Arial"/>
              </w:rPr>
              <w:t>,</w:t>
            </w:r>
            <w:r w:rsidRPr="00372CAE" w:rsidR="00372CA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Pr="00372CAE" w:rsidR="00372CAE">
              <w:rPr>
                <w:rFonts w:ascii="Arial" w:hAnsi="Arial" w:cs="Arial"/>
              </w:rPr>
              <w:t>b</w:t>
            </w:r>
            <w:r w:rsidR="004D49CD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DHW dynamic test</w:t>
            </w:r>
          </w:p>
        </w:tc>
      </w:tr>
      <w:tr w:rsidR="00C202E7" w:rsidTr="7D1D763A" w14:paraId="2F419B0C" w14:textId="77777777">
        <w:tc>
          <w:tcPr>
            <w:tcW w:w="3003" w:type="dxa"/>
            <w:tcMar/>
          </w:tcPr>
          <w:p w:rsidRPr="00C202E7" w:rsidR="00C202E7" w:rsidP="00007E9F" w:rsidRDefault="00C202E7" w14:paraId="736B9905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  <w:tcMar/>
          </w:tcPr>
          <w:p w:rsidR="00C202E7" w:rsidP="00007E9F" w:rsidRDefault="00372CAE" w14:paraId="01DA5027" w14:textId="1C2F2A94">
            <w:pPr>
              <w:rPr>
                <w:rFonts w:ascii="Arial" w:hAnsi="Arial" w:cs="Arial"/>
              </w:rPr>
            </w:pPr>
            <w:r w:rsidRPr="7D1D763A" w:rsidR="00372CAE">
              <w:rPr>
                <w:rFonts w:ascii="Arial" w:hAnsi="Arial" w:cs="Arial"/>
              </w:rPr>
              <w:t>2</w:t>
            </w:r>
            <w:r w:rsidRPr="7D1D763A" w:rsidR="1063D23A">
              <w:rPr>
                <w:rFonts w:ascii="Arial" w:hAnsi="Arial" w:cs="Arial"/>
              </w:rPr>
              <w:t>0</w:t>
            </w:r>
            <w:r w:rsidRPr="7D1D763A" w:rsidR="00372CAE">
              <w:rPr>
                <w:rFonts w:ascii="Arial" w:hAnsi="Arial" w:cs="Arial"/>
              </w:rPr>
              <w:t xml:space="preserve">. </w:t>
            </w:r>
            <w:r w:rsidRPr="7D1D763A" w:rsidR="006B4DC1">
              <w:rPr>
                <w:rFonts w:ascii="Arial" w:hAnsi="Arial" w:cs="Arial"/>
              </w:rPr>
              <w:t xml:space="preserve">DHW </w:t>
            </w:r>
            <w:r w:rsidRPr="7D1D763A" w:rsidR="00193E23">
              <w:rPr>
                <w:rFonts w:ascii="Arial" w:hAnsi="Arial" w:cs="Arial"/>
              </w:rPr>
              <w:t>dynamic draw off duration and duration of pauses</w:t>
            </w:r>
          </w:p>
        </w:tc>
      </w:tr>
    </w:tbl>
    <w:p w:rsidR="00124F5A" w:rsidP="00007E9F" w:rsidRDefault="00124F5A" w14:paraId="02E5DBA7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0C202E7" w14:paraId="630E1BE3" w14:textId="77777777">
        <w:tc>
          <w:tcPr>
            <w:tcW w:w="3003" w:type="dxa"/>
          </w:tcPr>
          <w:p w:rsidR="00C202E7" w:rsidP="00A34020" w:rsidRDefault="00C202E7" w14:paraId="47285A4D" w14:textId="77777777">
            <w:pPr>
              <w:rPr>
                <w:rFonts w:ascii="Arial" w:hAnsi="Arial" w:cs="Arial"/>
              </w:rPr>
            </w:pPr>
            <w:bookmarkStart w:name="_Hlk10712965" w:id="0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:rsidR="00C202E7" w:rsidP="00A34020" w:rsidRDefault="006B4DC1" w14:paraId="721D247F" w14:textId="4FD8BF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Martin Crane</w:t>
            </w:r>
          </w:p>
        </w:tc>
      </w:tr>
      <w:tr w:rsidR="00C202E7" w:rsidTr="00C202E7" w14:paraId="15C949FA" w14:textId="77777777">
        <w:tc>
          <w:tcPr>
            <w:tcW w:w="3003" w:type="dxa"/>
          </w:tcPr>
          <w:p w:rsidRPr="00C202E7" w:rsidR="00C202E7" w:rsidP="00A34020" w:rsidRDefault="00C202E7" w14:paraId="2F50C821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:rsidR="00C202E7" w:rsidP="00A34020" w:rsidRDefault="006B4DC1" w14:paraId="491A6CB5" w14:textId="646BB0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193E23">
              <w:rPr>
                <w:rFonts w:ascii="Arial" w:hAnsi="Arial" w:cs="Arial"/>
              </w:rPr>
              <w:t>38</w:t>
            </w:r>
          </w:p>
        </w:tc>
      </w:tr>
      <w:tr w:rsidR="00C202E7" w:rsidTr="00C202E7" w14:paraId="42573EB9" w14:textId="77777777">
        <w:tc>
          <w:tcPr>
            <w:tcW w:w="3003" w:type="dxa"/>
          </w:tcPr>
          <w:p w:rsidR="00C202E7" w:rsidP="00A34020" w:rsidRDefault="00C202E7" w14:paraId="6627B6B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:rsidR="00C202E7" w:rsidP="00A34020" w:rsidRDefault="006B4DC1" w14:paraId="1C995B7B" w14:textId="79EEBA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20/08/2020</w:t>
            </w:r>
          </w:p>
        </w:tc>
      </w:tr>
      <w:bookmarkEnd w:id="0"/>
      <w:tr w:rsidR="00C202E7" w:rsidTr="00C202E7" w14:paraId="0608EE1B" w14:textId="77777777">
        <w:tc>
          <w:tcPr>
            <w:tcW w:w="3003" w:type="dxa"/>
          </w:tcPr>
          <w:p w:rsidR="00C202E7" w:rsidP="00A34020" w:rsidRDefault="00C202E7" w14:paraId="280E0C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:rsidR="00C202E7" w:rsidP="00A34020" w:rsidRDefault="006B4DC1" w14:paraId="3DF54947" w14:textId="67BCBB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</w:tbl>
    <w:p w:rsidR="00124F5A" w:rsidP="00007E9F" w:rsidRDefault="00124F5A" w14:paraId="1FA335F6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:rsidTr="7D1D763A" w14:paraId="48D23617" w14:textId="77777777">
        <w:tc>
          <w:tcPr>
            <w:tcW w:w="9209" w:type="dxa"/>
            <w:tcMar/>
          </w:tcPr>
          <w:p w:rsidR="00C202E7" w:rsidP="00A34020" w:rsidRDefault="00C202E7" w14:paraId="5359E20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Approach</w:t>
            </w:r>
          </w:p>
          <w:p w:rsidR="00C202E7" w:rsidP="00A34020" w:rsidRDefault="00C202E7" w14:paraId="3A410135" w14:textId="77777777">
            <w:pPr>
              <w:rPr>
                <w:rFonts w:ascii="Arial" w:hAnsi="Arial" w:cs="Arial"/>
              </w:rPr>
            </w:pPr>
          </w:p>
          <w:p w:rsidR="00C202E7" w:rsidP="00A34020" w:rsidRDefault="00F41BA5" w14:paraId="6AD81FD9" w14:textId="40419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Retain </w:t>
            </w:r>
            <w:r w:rsidR="00193E23">
              <w:rPr>
                <w:rFonts w:ascii="Arial" w:hAnsi="Arial" w:cs="Arial"/>
              </w:rPr>
              <w:t>DHW dynamic test pattern</w:t>
            </w:r>
            <w:r w:rsidR="00BB7432">
              <w:rPr>
                <w:rFonts w:ascii="Arial" w:hAnsi="Arial" w:cs="Arial"/>
              </w:rPr>
              <w:t xml:space="preserve">: </w:t>
            </w:r>
          </w:p>
          <w:p w:rsidR="00BB7432" w:rsidP="00A34020" w:rsidRDefault="000A0239" w14:paraId="30242224" w14:textId="4AA84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 t</w:t>
            </w:r>
            <w:r w:rsidRPr="00BB7432" w:rsidR="00BB7432">
              <w:rPr>
                <w:rFonts w:ascii="Arial" w:hAnsi="Arial" w:cs="Arial"/>
              </w:rPr>
              <w:t>he DHW outputs used in the Test, each flow</w:t>
            </w:r>
            <w:r w:rsidR="0089389B">
              <w:rPr>
                <w:rFonts w:ascii="Arial" w:hAnsi="Arial" w:cs="Arial"/>
              </w:rPr>
              <w:t xml:space="preserve"> (</w:t>
            </w:r>
            <w:r w:rsidRPr="00BB7432" w:rsidR="0089389B">
              <w:rPr>
                <w:rFonts w:ascii="Arial" w:hAnsi="Arial" w:cs="Arial"/>
              </w:rPr>
              <w:t>0.06 l/s (10kW), 0.01 l/s (17kW) and 0.13 l/s (22kW)</w:t>
            </w:r>
            <w:r w:rsidR="0089389B">
              <w:rPr>
                <w:rFonts w:ascii="Arial" w:hAnsi="Arial" w:cs="Arial"/>
              </w:rPr>
              <w:t>)</w:t>
            </w:r>
            <w:r w:rsidRPr="00BB7432" w:rsidR="00BB7432">
              <w:rPr>
                <w:rFonts w:ascii="Arial" w:hAnsi="Arial" w:cs="Arial"/>
              </w:rPr>
              <w:t xml:space="preserve"> is for 180 seconds with a 180 second pause in between</w:t>
            </w:r>
            <w:r w:rsidR="00D72720">
              <w:rPr>
                <w:rFonts w:ascii="Arial" w:hAnsi="Arial" w:cs="Arial"/>
              </w:rPr>
              <w:t xml:space="preserve">. </w:t>
            </w:r>
            <w:r w:rsidRPr="00D72720" w:rsidR="00D72720">
              <w:rPr>
                <w:rFonts w:ascii="Arial" w:hAnsi="Arial" w:cs="Arial"/>
              </w:rPr>
              <w:t>The pattern of flows is shown below.</w:t>
            </w:r>
          </w:p>
          <w:p w:rsidR="00C202E7" w:rsidP="00A34020" w:rsidRDefault="00C202E7" w14:paraId="004AC09F" w14:textId="77777777">
            <w:pPr>
              <w:rPr>
                <w:rFonts w:ascii="Arial" w:hAnsi="Arial" w:cs="Arial"/>
              </w:rPr>
            </w:pPr>
          </w:p>
          <w:p w:rsidR="00C202E7" w:rsidP="00A34020" w:rsidRDefault="00A02795" w14:paraId="4ECC3FBE" w14:textId="527049B2">
            <w:pPr>
              <w:rPr>
                <w:rFonts w:ascii="Arial" w:hAnsi="Arial" w:cs="Arial"/>
              </w:rPr>
            </w:pPr>
            <w:r w:rsidR="00A02795">
              <w:drawing>
                <wp:inline wp14:editId="7D1D763A" wp14:anchorId="47D0E5D2">
                  <wp:extent cx="3545059" cy="1949256"/>
                  <wp:effectExtent l="0" t="0" r="0" b="0"/>
                  <wp:docPr id="2" name="Picture 2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 2"/>
                          <pic:cNvPicPr/>
                        </pic:nvPicPr>
                        <pic:blipFill>
                          <a:blip r:embed="R9a47550e9f4e4285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3545059" cy="1949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3874" w:rsidP="00A34020" w:rsidRDefault="00F43874" w14:paraId="6A4398DC" w14:textId="089E49EE">
            <w:pPr>
              <w:rPr>
                <w:rFonts w:ascii="Arial" w:hAnsi="Arial" w:cs="Arial"/>
              </w:rPr>
            </w:pPr>
            <w:r w:rsidRPr="00F43874">
              <w:rPr>
                <w:rFonts w:ascii="Arial" w:hAnsi="Arial" w:cs="Arial"/>
              </w:rPr>
              <w:t>The return temperature during these 180 second periods are used in the VWART calculation</w:t>
            </w:r>
          </w:p>
          <w:p w:rsidR="00C202E7" w:rsidP="00A34020" w:rsidRDefault="00C202E7" w14:paraId="0CB64DC5" w14:textId="77777777">
            <w:pPr>
              <w:rPr>
                <w:rFonts w:ascii="Arial" w:hAnsi="Arial" w:cs="Arial"/>
              </w:rPr>
            </w:pPr>
          </w:p>
        </w:tc>
      </w:tr>
      <w:tr w:rsidR="00C202E7" w:rsidTr="7D1D763A" w14:paraId="0CDF2398" w14:textId="77777777">
        <w:tc>
          <w:tcPr>
            <w:tcW w:w="9209" w:type="dxa"/>
            <w:tcMar/>
          </w:tcPr>
          <w:p w:rsidR="00C202E7" w:rsidP="00A34020" w:rsidRDefault="00C202E7" w14:paraId="4371DAAF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Rationale (underlying basis for assumption)</w:t>
            </w:r>
          </w:p>
          <w:p w:rsidR="00C202E7" w:rsidP="00A34020" w:rsidRDefault="00C202E7" w14:paraId="01DF4C9C" w14:textId="77777777">
            <w:pPr>
              <w:rPr>
                <w:rFonts w:ascii="Arial" w:hAnsi="Arial" w:cs="Arial"/>
              </w:rPr>
            </w:pPr>
          </w:p>
          <w:p w:rsidR="00C202E7" w:rsidP="00A34020" w:rsidRDefault="00C6783B" w14:paraId="6E8AB8C3" w14:textId="01F140CD">
            <w:pPr>
              <w:rPr>
                <w:rFonts w:ascii="Arial" w:hAnsi="Arial" w:cs="Arial"/>
              </w:rPr>
            </w:pPr>
            <w:r w:rsidRPr="7D1D763A" w:rsidR="00C6783B">
              <w:rPr>
                <w:rFonts w:ascii="Arial" w:hAnsi="Arial" w:cs="Arial"/>
              </w:rPr>
              <w:t>See Technical Note 01</w:t>
            </w:r>
            <w:r w:rsidRPr="7D1D763A" w:rsidR="0CB38BB7">
              <w:rPr>
                <w:rFonts w:ascii="Arial" w:hAnsi="Arial" w:cs="Arial"/>
              </w:rPr>
              <w:t>5</w:t>
            </w:r>
            <w:r w:rsidRPr="7D1D763A" w:rsidR="00C6783B">
              <w:rPr>
                <w:rFonts w:ascii="Arial" w:hAnsi="Arial" w:cs="Arial"/>
              </w:rPr>
              <w:t>.</w:t>
            </w:r>
          </w:p>
          <w:p w:rsidR="00C202E7" w:rsidP="00A34020" w:rsidRDefault="00C202E7" w14:paraId="5ADF049B" w14:textId="5A81127A">
            <w:pPr>
              <w:rPr>
                <w:rFonts w:ascii="Arial" w:hAnsi="Arial" w:cs="Arial"/>
              </w:rPr>
            </w:pPr>
          </w:p>
          <w:p w:rsidR="004607B7" w:rsidP="00A34020" w:rsidRDefault="004607B7" w14:paraId="24AEC4F6" w14:textId="15E1F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Summary of considerations:</w:t>
            </w:r>
          </w:p>
          <w:p w:rsidR="00F349A6" w:rsidP="00F349A6" w:rsidRDefault="002E18D4" w14:paraId="7EC30F09" w14:textId="0BC4A402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 seconds between DHW draw of is long enough for the HIU to stabilise after the DHW demand, giving time for the DH flow rate to drop to zero.</w:t>
            </w:r>
          </w:p>
          <w:p w:rsidRPr="00F349A6" w:rsidR="004E79AD" w:rsidP="00F349A6" w:rsidRDefault="00401758" w14:paraId="58AE1B82" w14:textId="45502B1A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from recent tests show that </w:t>
            </w:r>
            <w:r w:rsidR="00474897">
              <w:rPr>
                <w:rFonts w:ascii="Arial" w:hAnsi="Arial" w:cs="Arial"/>
              </w:rPr>
              <w:t>the</w:t>
            </w:r>
            <w:r w:rsidRPr="00474897" w:rsidR="00474897">
              <w:rPr>
                <w:rFonts w:ascii="Arial" w:hAnsi="Arial" w:cs="Arial"/>
              </w:rPr>
              <w:t xml:space="preserve"> DH return temperatures </w:t>
            </w:r>
            <w:proofErr w:type="spellStart"/>
            <w:r w:rsidRPr="00474897" w:rsidR="00474897">
              <w:rPr>
                <w:rFonts w:ascii="Arial" w:hAnsi="Arial" w:cs="Arial"/>
              </w:rPr>
              <w:t>stabilsies</w:t>
            </w:r>
            <w:proofErr w:type="spellEnd"/>
            <w:r w:rsidRPr="00474897" w:rsidR="00474897">
              <w:rPr>
                <w:rFonts w:ascii="Arial" w:hAnsi="Arial" w:cs="Arial"/>
              </w:rPr>
              <w:t xml:space="preserve"> quickly after the change in DHW flow rate, so increasing or reducing the length of DHW draw off would have little impact on the average return temperatures – which are the inputs to the VWART calculation.</w:t>
            </w:r>
          </w:p>
          <w:p w:rsidR="00C202E7" w:rsidP="00A34020" w:rsidRDefault="00C202E7" w14:paraId="6F744EBB" w14:textId="77777777">
            <w:pPr>
              <w:rPr>
                <w:rFonts w:ascii="Arial" w:hAnsi="Arial" w:cs="Arial"/>
              </w:rPr>
            </w:pPr>
          </w:p>
          <w:p w:rsidR="00DF2B4F" w:rsidP="00A34020" w:rsidRDefault="00DF2B4F" w14:paraId="6D5EA53C" w14:textId="77777777">
            <w:pPr>
              <w:rPr>
                <w:rFonts w:ascii="Arial" w:hAnsi="Arial" w:cs="Arial"/>
              </w:rPr>
            </w:pPr>
            <w:r w:rsidRPr="00DF2B4F">
              <w:rPr>
                <w:rFonts w:ascii="Arial" w:hAnsi="Arial" w:cs="Arial"/>
              </w:rPr>
              <w:lastRenderedPageBreak/>
              <w:t>Current Test methodology provides what seems to be representative data for the VWART calculation and the graphed results show the effectiveness of the HIU control.  The Test methodology</w:t>
            </w:r>
            <w:bookmarkStart w:name="_GoBack" w:id="1"/>
            <w:bookmarkEnd w:id="1"/>
            <w:r w:rsidRPr="00DF2B4F">
              <w:rPr>
                <w:rFonts w:ascii="Arial" w:hAnsi="Arial" w:cs="Arial"/>
              </w:rPr>
              <w:t xml:space="preserve"> provides a check that the HIU does not generate high DHW temperature spikes.</w:t>
            </w:r>
          </w:p>
          <w:p w:rsidR="00DF2B4F" w:rsidP="00A34020" w:rsidRDefault="00DF2B4F" w14:paraId="4E8CDBF5" w14:textId="0FD60510">
            <w:pPr>
              <w:rPr>
                <w:rFonts w:ascii="Arial" w:hAnsi="Arial" w:cs="Arial"/>
              </w:rPr>
            </w:pPr>
          </w:p>
        </w:tc>
      </w:tr>
      <w:tr w:rsidR="00C202E7" w:rsidTr="7D1D763A" w14:paraId="5E67A22B" w14:textId="77777777">
        <w:tc>
          <w:tcPr>
            <w:tcW w:w="9209" w:type="dxa"/>
            <w:tcMar/>
          </w:tcPr>
          <w:p w:rsidR="00C202E7" w:rsidP="00A34020" w:rsidRDefault="00C202E7" w14:paraId="67652CAC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Impact of Change (e.g. implications for test rig)</w:t>
            </w:r>
          </w:p>
          <w:p w:rsidR="00C202E7" w:rsidP="00A34020" w:rsidRDefault="00C202E7" w14:paraId="2F6FB401" w14:textId="77777777">
            <w:pPr>
              <w:rPr>
                <w:rFonts w:ascii="Arial" w:hAnsi="Arial" w:cs="Arial"/>
              </w:rPr>
            </w:pPr>
          </w:p>
          <w:p w:rsidR="00C202E7" w:rsidP="00A34020" w:rsidRDefault="006B4DC1" w14:paraId="6B5944F4" w14:textId="4CAB3E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:rsidR="00C202E7" w:rsidP="00A34020" w:rsidRDefault="00C202E7" w14:paraId="5AB7467D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4418215F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6CC50BEE" w14:textId="77777777">
            <w:pPr>
              <w:rPr>
                <w:rFonts w:ascii="Arial" w:hAnsi="Arial" w:cs="Arial"/>
              </w:rPr>
            </w:pPr>
          </w:p>
        </w:tc>
      </w:tr>
    </w:tbl>
    <w:p w:rsidR="00124F5A" w:rsidP="00007E9F" w:rsidRDefault="00124F5A" w14:paraId="48C53D70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:rsidTr="007E30E6" w14:paraId="1E557189" w14:textId="77777777">
        <w:tc>
          <w:tcPr>
            <w:tcW w:w="9209" w:type="dxa"/>
            <w:gridSpan w:val="2"/>
          </w:tcPr>
          <w:p w:rsidR="00C202E7" w:rsidP="00A34020" w:rsidRDefault="00C202E7" w14:paraId="51D2C82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:rsidTr="00C202E7" w14:paraId="6F69ED4E" w14:textId="77777777">
        <w:tc>
          <w:tcPr>
            <w:tcW w:w="4106" w:type="dxa"/>
          </w:tcPr>
          <w:p w:rsidRPr="00C202E7" w:rsidR="00C202E7" w:rsidP="00A34020" w:rsidRDefault="00C202E7" w14:paraId="4EF167CA" w14:textId="77777777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:rsidR="00C202E7" w:rsidP="00A34020" w:rsidRDefault="003B2441" w14:paraId="1E27941D" w14:textId="4CEF20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22/</w:t>
            </w:r>
            <w:r w:rsidR="006A7584">
              <w:rPr>
                <w:rFonts w:ascii="Arial" w:hAnsi="Arial" w:cs="Arial"/>
              </w:rPr>
              <w:t>09</w:t>
            </w:r>
            <w:r>
              <w:rPr>
                <w:rFonts w:ascii="Arial" w:hAnsi="Arial" w:cs="Arial"/>
              </w:rPr>
              <w:t>/2020</w:t>
            </w:r>
          </w:p>
        </w:tc>
      </w:tr>
      <w:tr w:rsidR="00C202E7" w:rsidTr="00C202E7" w14:paraId="4DCB02D0" w14:textId="77777777">
        <w:tc>
          <w:tcPr>
            <w:tcW w:w="4106" w:type="dxa"/>
          </w:tcPr>
          <w:p w:rsidR="00C202E7" w:rsidP="00A34020" w:rsidRDefault="00C202E7" w14:paraId="4DC1C23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:rsidR="00C202E7" w:rsidP="00A34020" w:rsidRDefault="003B2441" w14:paraId="1D43D18E" w14:textId="3778F8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:rsidTr="00C202E7" w14:paraId="7F0C1C4C" w14:textId="77777777">
        <w:tc>
          <w:tcPr>
            <w:tcW w:w="4106" w:type="dxa"/>
          </w:tcPr>
          <w:p w:rsidR="00C202E7" w:rsidP="00A34020" w:rsidRDefault="00C202E7" w14:paraId="0037B15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:rsidR="00C202E7" w:rsidP="00A34020" w:rsidRDefault="003B2441" w14:paraId="739A3C66" w14:textId="2EA044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:rsidTr="00255DAA" w14:paraId="08DD2D4B" w14:textId="77777777">
        <w:tc>
          <w:tcPr>
            <w:tcW w:w="9209" w:type="dxa"/>
            <w:gridSpan w:val="2"/>
          </w:tcPr>
          <w:p w:rsidR="00C202E7" w:rsidP="00A34020" w:rsidRDefault="00C202E7" w14:paraId="0EA698F5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:rsidR="00C202E7" w:rsidP="00A34020" w:rsidRDefault="00C202E7" w14:paraId="2846A089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38895DB8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5649E94F" w14:textId="77777777">
        <w:tc>
          <w:tcPr>
            <w:tcW w:w="4106" w:type="dxa"/>
          </w:tcPr>
          <w:p w:rsidR="00C202E7" w:rsidP="00A34020" w:rsidRDefault="00C202E7" w14:paraId="281F5A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:rsidR="00C202E7" w:rsidP="00A34020" w:rsidRDefault="00C202E7" w14:paraId="55E89285" w14:textId="7D495F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:rsidR="005D5F24" w:rsidP="00007E9F" w:rsidRDefault="005D5F24" w14:paraId="6C88523D" w14:textId="77777777">
      <w:pPr>
        <w:rPr>
          <w:rFonts w:ascii="Arial" w:hAnsi="Arial" w:cs="Arial"/>
        </w:rPr>
      </w:pPr>
    </w:p>
    <w:p w:rsidR="005D5F24" w:rsidRDefault="005D5F24" w14:paraId="44C7E67F" w14:textId="7F243D2B">
      <w:pPr>
        <w:rPr>
          <w:rFonts w:ascii="Arial" w:hAnsi="Arial" w:cs="Arial"/>
        </w:rPr>
      </w:pPr>
    </w:p>
    <w:sectPr w:rsidR="005D5F24" w:rsidSect="00BC4C68">
      <w:headerReference w:type="even" r:id="rId13"/>
      <w:headerReference w:type="default" r:id="rId14"/>
      <w:pgSz w:w="11900" w:h="16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292" w:rsidP="00BC4C68" w:rsidRDefault="00233292" w14:paraId="1B33B68C" w14:textId="77777777">
      <w:r>
        <w:separator/>
      </w:r>
    </w:p>
  </w:endnote>
  <w:endnote w:type="continuationSeparator" w:id="0">
    <w:p w:rsidR="00233292" w:rsidP="00BC4C68" w:rsidRDefault="00233292" w14:paraId="4CD0A67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292" w:rsidP="00BC4C68" w:rsidRDefault="00233292" w14:paraId="45298989" w14:textId="77777777">
      <w:r>
        <w:separator/>
      </w:r>
    </w:p>
  </w:footnote>
  <w:footnote w:type="continuationSeparator" w:id="0">
    <w:p w:rsidR="00233292" w:rsidP="00BC4C68" w:rsidRDefault="00233292" w14:paraId="1832AE7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DE1781" w:rsidRDefault="00BC4C68" w14:paraId="17E171B6" w14:textId="77777777">
    <w:pPr>
      <w:pStyle w:val="Head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C68" w:rsidP="00BC4C68" w:rsidRDefault="00BC4C68" w14:paraId="3ED41D72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BC4C68" w:rsidRDefault="00BC4C68" w14:paraId="78781ADE" w14:textId="77777777">
    <w:pPr>
      <w:pStyle w:val="Header"/>
      <w:framePr w:wrap="none" w:hAnchor="page" w:vAnchor="text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:rsidR="00BC4C68" w:rsidP="00BC4C68" w:rsidRDefault="00BC4C68" w14:paraId="32ABAA6A" w14:textId="77777777">
    <w:pPr>
      <w:pStyle w:val="Header"/>
      <w:ind w:right="360"/>
    </w:pPr>
    <w:r>
      <w:t>HIU Test Standard Group</w:t>
    </w:r>
    <w:r>
      <w:ptab w:alignment="center" w:relativeTo="margin" w:leader="none"/>
    </w:r>
    <w:r>
      <w:t>CONFIDENTIAL</w:t>
    </w:r>
    <w:r>
      <w:ptab w:alignment="right" w:relativeTo="margin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F7A00"/>
    <w:multiLevelType w:val="hybridMultilevel"/>
    <w:tmpl w:val="2CF88D7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4"/>
  </w:num>
  <w:num w:numId="5">
    <w:abstractNumId w:val="5"/>
  </w:num>
  <w:num w:numId="6">
    <w:abstractNumId w:val="9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41EA2"/>
    <w:rsid w:val="0009753C"/>
    <w:rsid w:val="000A0239"/>
    <w:rsid w:val="000B6627"/>
    <w:rsid w:val="000D351C"/>
    <w:rsid w:val="00113625"/>
    <w:rsid w:val="00124F5A"/>
    <w:rsid w:val="00126DD1"/>
    <w:rsid w:val="00173021"/>
    <w:rsid w:val="001742AF"/>
    <w:rsid w:val="00185FE7"/>
    <w:rsid w:val="00193E23"/>
    <w:rsid w:val="001B39B1"/>
    <w:rsid w:val="001C7692"/>
    <w:rsid w:val="001F16C2"/>
    <w:rsid w:val="00233292"/>
    <w:rsid w:val="002A40F0"/>
    <w:rsid w:val="002E18D4"/>
    <w:rsid w:val="002F2994"/>
    <w:rsid w:val="003005F8"/>
    <w:rsid w:val="003067CE"/>
    <w:rsid w:val="003130A5"/>
    <w:rsid w:val="003171CA"/>
    <w:rsid w:val="0034504D"/>
    <w:rsid w:val="00345E14"/>
    <w:rsid w:val="00372CAE"/>
    <w:rsid w:val="003922A7"/>
    <w:rsid w:val="003B2441"/>
    <w:rsid w:val="003B43A1"/>
    <w:rsid w:val="003E3E08"/>
    <w:rsid w:val="00401758"/>
    <w:rsid w:val="00410041"/>
    <w:rsid w:val="004607B7"/>
    <w:rsid w:val="00464649"/>
    <w:rsid w:val="00474897"/>
    <w:rsid w:val="00482724"/>
    <w:rsid w:val="004B6299"/>
    <w:rsid w:val="004D49CD"/>
    <w:rsid w:val="004E1CEE"/>
    <w:rsid w:val="004E7934"/>
    <w:rsid w:val="004E79AD"/>
    <w:rsid w:val="004F5D6E"/>
    <w:rsid w:val="00502AE9"/>
    <w:rsid w:val="00535669"/>
    <w:rsid w:val="0055179B"/>
    <w:rsid w:val="00556BA2"/>
    <w:rsid w:val="005720DB"/>
    <w:rsid w:val="005D5F24"/>
    <w:rsid w:val="005D672B"/>
    <w:rsid w:val="005F044A"/>
    <w:rsid w:val="00673A4B"/>
    <w:rsid w:val="00696C33"/>
    <w:rsid w:val="006A7584"/>
    <w:rsid w:val="006B4DC1"/>
    <w:rsid w:val="00700B3C"/>
    <w:rsid w:val="0071234C"/>
    <w:rsid w:val="00716E85"/>
    <w:rsid w:val="0078523F"/>
    <w:rsid w:val="00786904"/>
    <w:rsid w:val="007B2C28"/>
    <w:rsid w:val="007C628E"/>
    <w:rsid w:val="00811B91"/>
    <w:rsid w:val="00830790"/>
    <w:rsid w:val="00873AD2"/>
    <w:rsid w:val="00880F85"/>
    <w:rsid w:val="008903AA"/>
    <w:rsid w:val="0089389B"/>
    <w:rsid w:val="008B3162"/>
    <w:rsid w:val="008D0B74"/>
    <w:rsid w:val="0096016F"/>
    <w:rsid w:val="00962FEC"/>
    <w:rsid w:val="00974471"/>
    <w:rsid w:val="009838D8"/>
    <w:rsid w:val="009860AC"/>
    <w:rsid w:val="009F3A21"/>
    <w:rsid w:val="00A0152F"/>
    <w:rsid w:val="00A02795"/>
    <w:rsid w:val="00A91A26"/>
    <w:rsid w:val="00AF28F0"/>
    <w:rsid w:val="00B11A68"/>
    <w:rsid w:val="00B26500"/>
    <w:rsid w:val="00BB7432"/>
    <w:rsid w:val="00BC4C68"/>
    <w:rsid w:val="00C03342"/>
    <w:rsid w:val="00C202E7"/>
    <w:rsid w:val="00C6783B"/>
    <w:rsid w:val="00C816E1"/>
    <w:rsid w:val="00CC1E74"/>
    <w:rsid w:val="00CE5A21"/>
    <w:rsid w:val="00D72720"/>
    <w:rsid w:val="00D92513"/>
    <w:rsid w:val="00DF2B4F"/>
    <w:rsid w:val="00ED1844"/>
    <w:rsid w:val="00EF6D8D"/>
    <w:rsid w:val="00F349A6"/>
    <w:rsid w:val="00F41BA5"/>
    <w:rsid w:val="00F43874"/>
    <w:rsid w:val="00F842AC"/>
    <w:rsid w:val="00FF686D"/>
    <w:rsid w:val="0CB38BB7"/>
    <w:rsid w:val="1063D23A"/>
    <w:rsid w:val="7D1D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image" Target="/media/image2.png" Id="R9a47550e9f4e428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9" ma:contentTypeDescription="Create a new document." ma:contentTypeScope="" ma:versionID="862f055bf1c8102a73bd6427a8ff6fe0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8ffd396411c29704bf3e011d7f4c082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1E7AF2-85F6-4F17-BF76-B557C067541A}"/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D1E166-83B2-479B-9F05-950D7931FA5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Lucy Sherburn</cp:lastModifiedBy>
  <cp:revision>16</cp:revision>
  <dcterms:created xsi:type="dcterms:W3CDTF">2020-10-30T12:27:00Z</dcterms:created>
  <dcterms:modified xsi:type="dcterms:W3CDTF">2020-11-10T16:51:36Z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