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0312C083" w:rsidR="00C202E7" w:rsidRDefault="001F3C64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4a &amp; 4b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26D4A2E3" w:rsidR="00C202E7" w:rsidRDefault="001F3C64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="004769C5">
              <w:rPr>
                <w:rFonts w:ascii="Arial" w:hAnsi="Arial" w:cs="Arial"/>
              </w:rPr>
              <w:t xml:space="preserve">. DHW flow rate prior to </w:t>
            </w:r>
            <w:r w:rsidR="005C2D3D">
              <w:rPr>
                <w:rFonts w:ascii="Arial" w:hAnsi="Arial" w:cs="Arial"/>
              </w:rPr>
              <w:t>keep warm test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66D5B589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GJ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348AE2E5" w:rsidR="00C202E7" w:rsidRDefault="00DD254B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C2D3D">
              <w:rPr>
                <w:rFonts w:ascii="Arial" w:hAnsi="Arial" w:cs="Arial"/>
              </w:rPr>
              <w:t>18</w:t>
            </w:r>
            <w:r w:rsidR="00813D93">
              <w:rPr>
                <w:rFonts w:ascii="Arial" w:hAnsi="Arial" w:cs="Arial"/>
              </w:rPr>
              <w:t>-Rev 2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18DF7805" w:rsidR="00C202E7" w:rsidRDefault="002E4DC1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40007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09</w:t>
            </w:r>
            <w:r w:rsidR="00400070">
              <w:rPr>
                <w:rFonts w:ascii="Arial" w:hAnsi="Arial" w:cs="Arial"/>
              </w:rPr>
              <w:t>/</w:t>
            </w:r>
            <w:r w:rsidR="00F72E3A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20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073D0F59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254C0684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CD5D0E">
              <w:rPr>
                <w:rFonts w:ascii="Arial" w:hAnsi="Arial" w:cs="Arial"/>
              </w:rPr>
              <w:t>flow rate of 0.</w:t>
            </w:r>
            <w:r w:rsidR="00475E84">
              <w:rPr>
                <w:rFonts w:ascii="Arial" w:hAnsi="Arial" w:cs="Arial"/>
              </w:rPr>
              <w:t>13 l/</w:t>
            </w:r>
            <w:r w:rsidR="00053409">
              <w:rPr>
                <w:rFonts w:ascii="Arial" w:hAnsi="Arial" w:cs="Arial"/>
              </w:rPr>
              <w:t>s.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01DF4C9C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C09124" w14:textId="29EBD7DE" w:rsidR="00C202E7" w:rsidRDefault="00D21D7F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purpose of the </w:t>
            </w:r>
            <w:r w:rsidR="00027388">
              <w:rPr>
                <w:rFonts w:ascii="Arial" w:hAnsi="Arial" w:cs="Arial"/>
              </w:rPr>
              <w:t xml:space="preserve">pre-test flow rate is to ensure that the system is completely up to temperature, prior to commencing the </w:t>
            </w:r>
            <w:r w:rsidR="00340E49">
              <w:rPr>
                <w:rFonts w:ascii="Arial" w:hAnsi="Arial" w:cs="Arial"/>
              </w:rPr>
              <w:t xml:space="preserve">keep warm test, with standardisation of conditions across test rigs and tests. </w:t>
            </w:r>
            <w:r w:rsidR="00471E42">
              <w:rPr>
                <w:rFonts w:ascii="Arial" w:hAnsi="Arial" w:cs="Arial"/>
              </w:rPr>
              <w:t xml:space="preserve">As 0.13 l/s is the maximum flow rate used in the </w:t>
            </w:r>
            <w:r w:rsidR="00544324">
              <w:rPr>
                <w:rFonts w:ascii="Arial" w:hAnsi="Arial" w:cs="Arial"/>
              </w:rPr>
              <w:t xml:space="preserve">DHW </w:t>
            </w:r>
            <w:r w:rsidR="000A5BB5">
              <w:rPr>
                <w:rFonts w:ascii="Arial" w:hAnsi="Arial" w:cs="Arial"/>
              </w:rPr>
              <w:t>test</w:t>
            </w:r>
            <w:r w:rsidR="00544324">
              <w:rPr>
                <w:rFonts w:ascii="Arial" w:hAnsi="Arial" w:cs="Arial"/>
              </w:rPr>
              <w:t>s</w:t>
            </w:r>
            <w:r w:rsidR="000A5BB5">
              <w:rPr>
                <w:rFonts w:ascii="Arial" w:hAnsi="Arial" w:cs="Arial"/>
              </w:rPr>
              <w:t xml:space="preserve">, this </w:t>
            </w:r>
            <w:r w:rsidR="00544324">
              <w:rPr>
                <w:rFonts w:ascii="Arial" w:hAnsi="Arial" w:cs="Arial"/>
              </w:rPr>
              <w:t>is representative of a large DHW event prior to commencement of keep warm.</w:t>
            </w:r>
          </w:p>
          <w:p w14:paraId="7075CAA2" w14:textId="42DFCB2A" w:rsidR="00BA174B" w:rsidRDefault="00530962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2D4CBA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 was analysed if </w:t>
            </w:r>
            <w:r w:rsidR="00773B84">
              <w:rPr>
                <w:rFonts w:ascii="Arial" w:hAnsi="Arial" w:cs="Arial"/>
              </w:rPr>
              <w:t xml:space="preserve">the temperature of the </w:t>
            </w:r>
            <w:r w:rsidR="00BE5578">
              <w:rPr>
                <w:rFonts w:ascii="Arial" w:hAnsi="Arial" w:cs="Arial"/>
              </w:rPr>
              <w:t xml:space="preserve">heating PHE at the time of the </w:t>
            </w:r>
            <w:r w:rsidR="007A30A9">
              <w:rPr>
                <w:rFonts w:ascii="Arial" w:hAnsi="Arial" w:cs="Arial"/>
              </w:rPr>
              <w:t>commencement of the test</w:t>
            </w:r>
            <w:r w:rsidR="00BE5578">
              <w:rPr>
                <w:rFonts w:ascii="Arial" w:hAnsi="Arial" w:cs="Arial"/>
              </w:rPr>
              <w:t xml:space="preserve"> could affect </w:t>
            </w:r>
            <w:r w:rsidR="007A30A9">
              <w:rPr>
                <w:rFonts w:ascii="Arial" w:hAnsi="Arial" w:cs="Arial"/>
              </w:rPr>
              <w:t>the result of the test. A calculation was performed based on a 16 plate</w:t>
            </w:r>
            <w:r w:rsidR="008B2BC4">
              <w:rPr>
                <w:rFonts w:ascii="Arial" w:hAnsi="Arial" w:cs="Arial"/>
              </w:rPr>
              <w:t xml:space="preserve"> exchanger </w:t>
            </w:r>
            <w:r w:rsidR="00DE097D">
              <w:rPr>
                <w:rFonts w:ascii="Arial" w:hAnsi="Arial" w:cs="Arial"/>
              </w:rPr>
              <w:t xml:space="preserve">dropping from 52.5 temperature to 48 °C temperature at the end of the test. The </w:t>
            </w:r>
            <w:r w:rsidR="00AF1A1B">
              <w:rPr>
                <w:rFonts w:ascii="Arial" w:hAnsi="Arial" w:cs="Arial"/>
              </w:rPr>
              <w:t xml:space="preserve">estimated average heat loss </w:t>
            </w:r>
            <w:r w:rsidR="00E1044B">
              <w:rPr>
                <w:rFonts w:ascii="Arial" w:hAnsi="Arial" w:cs="Arial"/>
              </w:rPr>
              <w:t>at th</w:t>
            </w:r>
            <w:r w:rsidR="002E004D">
              <w:rPr>
                <w:rFonts w:ascii="Arial" w:hAnsi="Arial" w:cs="Arial"/>
              </w:rPr>
              <w:t>ese</w:t>
            </w:r>
            <w:r w:rsidR="00E1044B">
              <w:rPr>
                <w:rFonts w:ascii="Arial" w:hAnsi="Arial" w:cs="Arial"/>
              </w:rPr>
              <w:t xml:space="preserve"> conditions </w:t>
            </w:r>
            <w:r w:rsidR="00480F7D">
              <w:rPr>
                <w:rFonts w:ascii="Arial" w:hAnsi="Arial" w:cs="Arial"/>
              </w:rPr>
              <w:t>was</w:t>
            </w:r>
            <w:r w:rsidR="00AF1A1B">
              <w:rPr>
                <w:rFonts w:ascii="Arial" w:hAnsi="Arial" w:cs="Arial"/>
              </w:rPr>
              <w:t xml:space="preserve"> 0.31W. </w:t>
            </w:r>
            <w:r w:rsidR="00A66D46">
              <w:rPr>
                <w:rFonts w:ascii="Arial" w:hAnsi="Arial" w:cs="Arial"/>
              </w:rPr>
              <w:t xml:space="preserve">Only a small part of this power would </w:t>
            </w:r>
            <w:r w:rsidR="00B54AC4">
              <w:rPr>
                <w:rFonts w:ascii="Arial" w:hAnsi="Arial" w:cs="Arial"/>
              </w:rPr>
              <w:t xml:space="preserve">be transferred </w:t>
            </w:r>
            <w:r w:rsidR="0098378E">
              <w:rPr>
                <w:rFonts w:ascii="Arial" w:hAnsi="Arial" w:cs="Arial"/>
              </w:rPr>
              <w:t>from heating PHE to the DHW exchanger</w:t>
            </w:r>
            <w:r w:rsidR="005A4F08">
              <w:rPr>
                <w:rFonts w:ascii="Arial" w:hAnsi="Arial" w:cs="Arial"/>
              </w:rPr>
              <w:t xml:space="preserve">, and therefore, it can be considered negligible comparing with the </w:t>
            </w:r>
            <w:r w:rsidR="002D4CBA">
              <w:rPr>
                <w:rFonts w:ascii="Arial" w:hAnsi="Arial" w:cs="Arial"/>
              </w:rPr>
              <w:t>heat losses measured during the published tests</w:t>
            </w:r>
            <w:r w:rsidR="002E004D">
              <w:rPr>
                <w:rFonts w:ascii="Arial" w:hAnsi="Arial" w:cs="Arial"/>
              </w:rPr>
              <w:t xml:space="preserve">. </w:t>
            </w: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13DFA41C" w:rsidR="00C202E7" w:rsidRDefault="005A4F08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07DE055B" w:rsidR="00C202E7" w:rsidRDefault="005A4F08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38895DB8" w14:textId="77777777" w:rsidR="00C202E7" w:rsidRDefault="00C202E7" w:rsidP="00BA174B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17B37E5D" w:rsidR="00C202E7" w:rsidRDefault="00862654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bookmarkStart w:id="1" w:name="_GoBack"/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A6D4F" w14:textId="77777777" w:rsidR="001369BA" w:rsidRDefault="001369BA" w:rsidP="00BC4C68">
      <w:r>
        <w:separator/>
      </w:r>
    </w:p>
  </w:endnote>
  <w:endnote w:type="continuationSeparator" w:id="0">
    <w:p w14:paraId="5C980502" w14:textId="77777777" w:rsidR="001369BA" w:rsidRDefault="001369BA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A045D" w14:textId="77777777" w:rsidR="001369BA" w:rsidRDefault="001369BA" w:rsidP="00BC4C68">
      <w:r>
        <w:separator/>
      </w:r>
    </w:p>
  </w:footnote>
  <w:footnote w:type="continuationSeparator" w:id="0">
    <w:p w14:paraId="6AE78C21" w14:textId="77777777" w:rsidR="001369BA" w:rsidRDefault="001369BA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27388"/>
    <w:rsid w:val="00041EA2"/>
    <w:rsid w:val="00053409"/>
    <w:rsid w:val="00090017"/>
    <w:rsid w:val="000A5BB5"/>
    <w:rsid w:val="000B6627"/>
    <w:rsid w:val="000D351C"/>
    <w:rsid w:val="00113625"/>
    <w:rsid w:val="00124F5A"/>
    <w:rsid w:val="00126DD1"/>
    <w:rsid w:val="001369BA"/>
    <w:rsid w:val="001742AF"/>
    <w:rsid w:val="00185FE7"/>
    <w:rsid w:val="001C7000"/>
    <w:rsid w:val="001C7692"/>
    <w:rsid w:val="001F3C64"/>
    <w:rsid w:val="001F45BF"/>
    <w:rsid w:val="002A40F0"/>
    <w:rsid w:val="002D4CBA"/>
    <w:rsid w:val="002E004D"/>
    <w:rsid w:val="002E4DC1"/>
    <w:rsid w:val="002F2994"/>
    <w:rsid w:val="003005F8"/>
    <w:rsid w:val="003067CE"/>
    <w:rsid w:val="003130A5"/>
    <w:rsid w:val="003171CA"/>
    <w:rsid w:val="00340E49"/>
    <w:rsid w:val="0034504D"/>
    <w:rsid w:val="00345E14"/>
    <w:rsid w:val="003922A7"/>
    <w:rsid w:val="003B43A1"/>
    <w:rsid w:val="003E3E08"/>
    <w:rsid w:val="00400070"/>
    <w:rsid w:val="004003F2"/>
    <w:rsid w:val="00410041"/>
    <w:rsid w:val="00464649"/>
    <w:rsid w:val="00471E42"/>
    <w:rsid w:val="00475E84"/>
    <w:rsid w:val="004769C5"/>
    <w:rsid w:val="00480F7D"/>
    <w:rsid w:val="00482724"/>
    <w:rsid w:val="004B6299"/>
    <w:rsid w:val="004E1CEE"/>
    <w:rsid w:val="004E287B"/>
    <w:rsid w:val="004E7934"/>
    <w:rsid w:val="004F5D6E"/>
    <w:rsid w:val="00502AE9"/>
    <w:rsid w:val="00530962"/>
    <w:rsid w:val="00535669"/>
    <w:rsid w:val="00544324"/>
    <w:rsid w:val="0055179B"/>
    <w:rsid w:val="005720DB"/>
    <w:rsid w:val="005A4F08"/>
    <w:rsid w:val="005C2D3D"/>
    <w:rsid w:val="005D5F24"/>
    <w:rsid w:val="005D672B"/>
    <w:rsid w:val="005F044A"/>
    <w:rsid w:val="00640448"/>
    <w:rsid w:val="00673A4B"/>
    <w:rsid w:val="00696C33"/>
    <w:rsid w:val="00700B3C"/>
    <w:rsid w:val="00716E85"/>
    <w:rsid w:val="00767801"/>
    <w:rsid w:val="00773B84"/>
    <w:rsid w:val="00786904"/>
    <w:rsid w:val="00793B55"/>
    <w:rsid w:val="007A30A9"/>
    <w:rsid w:val="007B0842"/>
    <w:rsid w:val="007B2C28"/>
    <w:rsid w:val="007C628E"/>
    <w:rsid w:val="00801345"/>
    <w:rsid w:val="00811B91"/>
    <w:rsid w:val="00813D93"/>
    <w:rsid w:val="00862654"/>
    <w:rsid w:val="00873AD2"/>
    <w:rsid w:val="00880F85"/>
    <w:rsid w:val="008B2BC4"/>
    <w:rsid w:val="008B3162"/>
    <w:rsid w:val="008D078F"/>
    <w:rsid w:val="008D0B74"/>
    <w:rsid w:val="008D781B"/>
    <w:rsid w:val="0096016F"/>
    <w:rsid w:val="00962FEC"/>
    <w:rsid w:val="0098378E"/>
    <w:rsid w:val="009838D8"/>
    <w:rsid w:val="009860AC"/>
    <w:rsid w:val="00A0152F"/>
    <w:rsid w:val="00A24425"/>
    <w:rsid w:val="00A267E3"/>
    <w:rsid w:val="00A66D46"/>
    <w:rsid w:val="00AF1A1B"/>
    <w:rsid w:val="00AF28F0"/>
    <w:rsid w:val="00AF5A79"/>
    <w:rsid w:val="00B11A68"/>
    <w:rsid w:val="00B30CB5"/>
    <w:rsid w:val="00B54AC4"/>
    <w:rsid w:val="00BA174B"/>
    <w:rsid w:val="00BB01B9"/>
    <w:rsid w:val="00BC4C68"/>
    <w:rsid w:val="00BE5578"/>
    <w:rsid w:val="00C03342"/>
    <w:rsid w:val="00C202E7"/>
    <w:rsid w:val="00C24F76"/>
    <w:rsid w:val="00C816E1"/>
    <w:rsid w:val="00CC1E74"/>
    <w:rsid w:val="00CD5D0E"/>
    <w:rsid w:val="00CE5A21"/>
    <w:rsid w:val="00D21D7F"/>
    <w:rsid w:val="00D92513"/>
    <w:rsid w:val="00DA0AA3"/>
    <w:rsid w:val="00DD254B"/>
    <w:rsid w:val="00DE097D"/>
    <w:rsid w:val="00E1044B"/>
    <w:rsid w:val="00E8394C"/>
    <w:rsid w:val="00ED1844"/>
    <w:rsid w:val="00ED2C2F"/>
    <w:rsid w:val="00EF6D8D"/>
    <w:rsid w:val="00F45B7B"/>
    <w:rsid w:val="00F72E3A"/>
    <w:rsid w:val="00F842AC"/>
    <w:rsid w:val="00F8681D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2c5610a0-2142-48df-b6ec-284e293ab8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31DF64D-EE36-4492-B267-7431D7BA5BA8}"/>
</file>

<file path=customXml/itemProps4.xml><?xml version="1.0" encoding="utf-8"?>
<ds:datastoreItem xmlns:ds="http://schemas.openxmlformats.org/officeDocument/2006/customXml" ds:itemID="{B0FC1D1B-87A0-44B0-9E53-B9919119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3</cp:revision>
  <dcterms:created xsi:type="dcterms:W3CDTF">2020-10-08T07:02:00Z</dcterms:created>
  <dcterms:modified xsi:type="dcterms:W3CDTF">2020-10-08T07:02:00Z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