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6748DB77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EF6E2E" w:rsidTr="00C202E7" w14:paraId="2E3CF40E" w14:textId="77777777">
        <w:tc>
          <w:tcPr>
            <w:tcW w:w="3003" w:type="dxa"/>
          </w:tcPr>
          <w:p w:rsidRPr="00C202E7" w:rsidR="00EF6E2E" w:rsidP="00EF6E2E" w:rsidRDefault="00EF6E2E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EF6E2E" w:rsidP="00EF6E2E" w:rsidRDefault="00EF6E2E" w14:paraId="14738188" w14:textId="0BB33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 – 5b, DHW response time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524C53" w:rsidRDefault="00EF6E2E" w14:paraId="01DA5027" w14:textId="73C628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 Primary flow temperature variation during keep-warm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EF6E2E" w:rsidTr="00C202E7" w14:paraId="630E1BE3" w14:textId="77777777">
        <w:tc>
          <w:tcPr>
            <w:tcW w:w="3003" w:type="dxa"/>
          </w:tcPr>
          <w:p w:rsidR="00EF6E2E" w:rsidP="00EF6E2E" w:rsidRDefault="00EF6E2E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Pr="00EF6E2E" w:rsidR="00EF6E2E" w:rsidP="00EF6E2E" w:rsidRDefault="00EF6E2E" w14:paraId="721D247F" w14:textId="2AF4F020">
            <w:pPr>
              <w:rPr>
                <w:rFonts w:ascii="Arial" w:hAnsi="Arial" w:cs="Arial"/>
              </w:rPr>
            </w:pPr>
            <w:r w:rsidRPr="00EF6E2E">
              <w:rPr>
                <w:rFonts w:ascii="Arial" w:hAnsi="Arial" w:cs="Arial"/>
              </w:rPr>
              <w:t>Tom Naughton</w:t>
            </w:r>
          </w:p>
        </w:tc>
      </w:tr>
      <w:tr w:rsidR="00EF6E2E" w:rsidTr="00C202E7" w14:paraId="15C949FA" w14:textId="77777777">
        <w:tc>
          <w:tcPr>
            <w:tcW w:w="3003" w:type="dxa"/>
          </w:tcPr>
          <w:p w:rsidRPr="00C202E7" w:rsidR="00EF6E2E" w:rsidP="00EF6E2E" w:rsidRDefault="00EF6E2E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Pr="00EF6E2E" w:rsidR="00EF6E2E" w:rsidP="00EF6E2E" w:rsidRDefault="00EF6E2E" w14:paraId="491A6CB5" w14:textId="67366D62">
            <w:pPr>
              <w:rPr>
                <w:rFonts w:ascii="Arial" w:hAnsi="Arial" w:cs="Arial"/>
              </w:rPr>
            </w:pPr>
            <w:r w:rsidRPr="00EF6E2E">
              <w:rPr>
                <w:rFonts w:ascii="Arial" w:hAnsi="Arial" w:cs="Arial"/>
              </w:rPr>
              <w:t>02</w:t>
            </w:r>
            <w:r>
              <w:rPr>
                <w:rFonts w:ascii="Arial" w:hAnsi="Arial" w:cs="Arial"/>
              </w:rPr>
              <w:t>4</w:t>
            </w:r>
            <w:bookmarkStart w:name="_GoBack" w:id="1"/>
            <w:bookmarkEnd w:id="1"/>
          </w:p>
        </w:tc>
      </w:tr>
      <w:tr w:rsidR="00EF6E2E" w:rsidTr="00C202E7" w14:paraId="42573EB9" w14:textId="77777777">
        <w:tc>
          <w:tcPr>
            <w:tcW w:w="3003" w:type="dxa"/>
          </w:tcPr>
          <w:p w:rsidR="00EF6E2E" w:rsidP="00EF6E2E" w:rsidRDefault="00EF6E2E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Pr="00EF6E2E" w:rsidR="00EF6E2E" w:rsidP="00EF6E2E" w:rsidRDefault="00EF6E2E" w14:paraId="1C995B7B" w14:textId="22DC2E43">
            <w:pPr>
              <w:rPr>
                <w:rFonts w:ascii="Arial" w:hAnsi="Arial" w:cs="Arial"/>
              </w:rPr>
            </w:pPr>
            <w:r w:rsidRPr="00EF6E2E">
              <w:rPr>
                <w:rFonts w:ascii="Arial" w:hAnsi="Arial" w:cs="Arial"/>
              </w:rPr>
              <w:t>03/01/2020</w:t>
            </w:r>
          </w:p>
        </w:tc>
      </w:tr>
      <w:bookmarkEnd w:id="0"/>
      <w:tr w:rsidR="00EF6E2E" w:rsidTr="00C202E7" w14:paraId="0608EE1B" w14:textId="77777777">
        <w:tc>
          <w:tcPr>
            <w:tcW w:w="3003" w:type="dxa"/>
          </w:tcPr>
          <w:p w:rsidR="00EF6E2E" w:rsidP="00EF6E2E" w:rsidRDefault="00EF6E2E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Pr="00EF6E2E" w:rsidR="00EF6E2E" w:rsidP="00EF6E2E" w:rsidRDefault="00EF6E2E" w14:paraId="3DF54947" w14:textId="15243EA1">
            <w:pPr>
              <w:rPr>
                <w:rFonts w:ascii="Arial" w:hAnsi="Arial" w:cs="Arial"/>
              </w:rPr>
            </w:pPr>
            <w:r w:rsidRPr="00EF6E2E">
              <w:rPr>
                <w:rFonts w:ascii="Arial" w:hAnsi="Arial" w:cs="Arial"/>
              </w:rPr>
              <w:t>No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Pr="00AF5A79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4C827970">
            <w:pPr>
              <w:rPr>
                <w:rFonts w:ascii="Arial" w:hAnsi="Arial" w:cs="Arial"/>
              </w:rPr>
            </w:pPr>
          </w:p>
          <w:p w:rsidRPr="00EF6E2E" w:rsidR="00EF6E2E" w:rsidP="00EF6E2E" w:rsidRDefault="00EF6E2E" w14:paraId="36224F75" w14:textId="77777777">
            <w:pPr>
              <w:rPr>
                <w:rFonts w:ascii="Arial" w:hAnsi="Arial" w:cs="Arial"/>
                <w:color w:val="000000"/>
              </w:rPr>
            </w:pPr>
            <w:r w:rsidRPr="00EF6E2E">
              <w:rPr>
                <w:rFonts w:ascii="Arial" w:hAnsi="Arial" w:cs="Arial"/>
                <w:color w:val="000000"/>
              </w:rPr>
              <w:t xml:space="preserve">An HIU is considered to be performing keep-warm cycling when the primary </w:t>
            </w:r>
            <w:r w:rsidRPr="00EF6E2E">
              <w:rPr>
                <w:rFonts w:ascii="Arial" w:hAnsi="Arial" w:cs="Arial"/>
                <w:color w:val="000000"/>
              </w:rPr>
              <w:br/>
            </w:r>
            <w:r w:rsidRPr="00EF6E2E">
              <w:rPr>
                <w:rFonts w:ascii="Arial" w:hAnsi="Arial" w:cs="Arial"/>
                <w:color w:val="000000"/>
              </w:rPr>
              <w:t>ﬂow temperature (t11) varies by more than +/-3°C during the ﬁnal 3 hours of the test.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="00C202E7" w:rsidP="00A34020" w:rsidRDefault="00C202E7" w14:paraId="4371DAAF" w14:textId="6E1319DA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Pr="00AF5A79" w:rsidR="00EF6E2E" w:rsidP="00A34020" w:rsidRDefault="00EF6E2E" w14:paraId="6DD3BBF9" w14:textId="77777777">
            <w:pPr>
              <w:rPr>
                <w:rFonts w:ascii="Arial" w:hAnsi="Arial" w:cs="Arial"/>
                <w:b/>
                <w:bCs/>
              </w:rPr>
            </w:pPr>
          </w:p>
          <w:p w:rsidRPr="00EF6E2E" w:rsidR="00EF6E2E" w:rsidP="00EF6E2E" w:rsidRDefault="00EF6E2E" w14:paraId="60BC5022" w14:textId="03FE07E0">
            <w:pPr>
              <w:rPr>
                <w:rFonts w:ascii="Arial" w:hAnsi="Arial" w:cs="Arial"/>
                <w:color w:val="000000"/>
              </w:rPr>
            </w:pPr>
            <w:r w:rsidRPr="00EF6E2E">
              <w:rPr>
                <w:rFonts w:ascii="Arial" w:hAnsi="Arial" w:cs="Arial"/>
                <w:color w:val="000000"/>
              </w:rPr>
              <w:t>If primary ﬂow temperature (t11) varies by more than +/-3°C during the ﬁnal 3 hours of test, then it can have an impact on response time. In this case the test procedure for HIUs with keep warm cycling must be followed</w:t>
            </w:r>
            <w:r>
              <w:rPr>
                <w:rFonts w:ascii="Arial" w:hAnsi="Arial" w:cs="Arial"/>
                <w:color w:val="000000"/>
              </w:rPr>
              <w:t xml:space="preserve"> (see assumptions 34, 35 and 38).</w:t>
            </w:r>
          </w:p>
          <w:p w:rsidR="00C202E7" w:rsidP="00A34020" w:rsidRDefault="00C202E7" w14:paraId="38C09124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Pr="00AF5A79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AF5A79" w14:paraId="6B5944F4" w14:textId="5EDC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6748DB77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6748DB77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6748DB77" w:rsidRDefault="00EF6E2E" w14:paraId="1E27941D" w14:textId="4C9CC98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6748DB77" w:rsidR="1D3417DB">
              <w:rPr>
                <w:rFonts w:ascii="Arial" w:hAnsi="Arial" w:cs="Arial"/>
              </w:rPr>
              <w:t>25/06/20</w:t>
            </w:r>
          </w:p>
        </w:tc>
      </w:tr>
      <w:tr w:rsidR="00C202E7" w:rsidTr="6748DB77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0A34020" w:rsidRDefault="00EF6E2E" w14:paraId="1D43D18E" w14:textId="1DE6B4E1">
            <w:pPr>
              <w:rPr>
                <w:rFonts w:ascii="Arial" w:hAnsi="Arial" w:cs="Arial"/>
              </w:rPr>
            </w:pPr>
            <w:r w:rsidRPr="6748DB77" w:rsidR="00EF6E2E">
              <w:rPr>
                <w:rFonts w:ascii="Arial" w:hAnsi="Arial" w:cs="Arial"/>
              </w:rPr>
              <w:t>N</w:t>
            </w:r>
          </w:p>
        </w:tc>
      </w:tr>
      <w:tr w:rsidR="00C202E7" w:rsidTr="6748DB77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00A34020" w:rsidRDefault="00EF6E2E" w14:paraId="739A3C66" w14:textId="0201CB83">
            <w:pPr>
              <w:rPr>
                <w:rFonts w:ascii="Arial" w:hAnsi="Arial" w:cs="Arial"/>
              </w:rPr>
            </w:pPr>
            <w:r w:rsidRPr="6748DB77" w:rsidR="6B64F723">
              <w:rPr>
                <w:rFonts w:ascii="Arial" w:hAnsi="Arial" w:cs="Arial"/>
              </w:rPr>
              <w:t>N</w:t>
            </w:r>
          </w:p>
        </w:tc>
      </w:tr>
      <w:tr w:rsidR="00C202E7" w:rsidTr="6748DB77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6748DB77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EF6E2E" w14:paraId="55E89285" w14:textId="5542B590">
            <w:pPr>
              <w:rPr>
                <w:rFonts w:ascii="Arial" w:hAnsi="Arial" w:cs="Arial"/>
              </w:rPr>
            </w:pPr>
            <w:r w:rsidRPr="6748DB77" w:rsidR="00EF6E2E">
              <w:rPr>
                <w:rFonts w:ascii="Arial" w:hAnsi="Arial" w:cs="Arial"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8EF" w:rsidP="00BC4C68" w:rsidRDefault="005468EF" w14:paraId="580D693D" w14:textId="77777777">
      <w:r>
        <w:separator/>
      </w:r>
    </w:p>
  </w:endnote>
  <w:endnote w:type="continuationSeparator" w:id="0">
    <w:p w:rsidR="005468EF" w:rsidP="00BC4C68" w:rsidRDefault="005468EF" w14:paraId="1551CE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8EF" w:rsidP="00BC4C68" w:rsidRDefault="005468EF" w14:paraId="75ACAD31" w14:textId="77777777">
      <w:r>
        <w:separator/>
      </w:r>
    </w:p>
  </w:footnote>
  <w:footnote w:type="continuationSeparator" w:id="0">
    <w:p w:rsidR="005468EF" w:rsidP="00BC4C68" w:rsidRDefault="005468EF" w14:paraId="686955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22B1F"/>
    <w:rsid w:val="00041EA2"/>
    <w:rsid w:val="000A6ED3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A40F0"/>
    <w:rsid w:val="002F2994"/>
    <w:rsid w:val="003005F8"/>
    <w:rsid w:val="003067CE"/>
    <w:rsid w:val="003130A5"/>
    <w:rsid w:val="003151EC"/>
    <w:rsid w:val="003171CA"/>
    <w:rsid w:val="003363F0"/>
    <w:rsid w:val="0034504D"/>
    <w:rsid w:val="00345E14"/>
    <w:rsid w:val="00387688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468EF"/>
    <w:rsid w:val="0055179B"/>
    <w:rsid w:val="005720DB"/>
    <w:rsid w:val="005D5F24"/>
    <w:rsid w:val="005D672B"/>
    <w:rsid w:val="005E13F2"/>
    <w:rsid w:val="005F044A"/>
    <w:rsid w:val="00624031"/>
    <w:rsid w:val="00673A4B"/>
    <w:rsid w:val="00696C33"/>
    <w:rsid w:val="00700B3C"/>
    <w:rsid w:val="00716E85"/>
    <w:rsid w:val="00786904"/>
    <w:rsid w:val="00786C2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371FB"/>
    <w:rsid w:val="00C4034A"/>
    <w:rsid w:val="00C816E1"/>
    <w:rsid w:val="00CA1BB1"/>
    <w:rsid w:val="00CC1E74"/>
    <w:rsid w:val="00CE5A21"/>
    <w:rsid w:val="00D30E40"/>
    <w:rsid w:val="00D901AD"/>
    <w:rsid w:val="00D92513"/>
    <w:rsid w:val="00DA0AA3"/>
    <w:rsid w:val="00DD254B"/>
    <w:rsid w:val="00DE0754"/>
    <w:rsid w:val="00E62AF4"/>
    <w:rsid w:val="00E80362"/>
    <w:rsid w:val="00ED1844"/>
    <w:rsid w:val="00EF6D8D"/>
    <w:rsid w:val="00EF6E2E"/>
    <w:rsid w:val="00F03D74"/>
    <w:rsid w:val="00F45B7B"/>
    <w:rsid w:val="00F62F69"/>
    <w:rsid w:val="00F72E3A"/>
    <w:rsid w:val="00F842AC"/>
    <w:rsid w:val="00FF686D"/>
    <w:rsid w:val="1D3417DB"/>
    <w:rsid w:val="6748DB77"/>
    <w:rsid w:val="6B64F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E6F837-F26C-4278-84E6-1CEB956B9F18}"/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70F38-F612-4787-801A-F79C319E316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4</cp:revision>
  <dcterms:created xsi:type="dcterms:W3CDTF">2020-01-02T13:53:00Z</dcterms:created>
  <dcterms:modified xsi:type="dcterms:W3CDTF">2020-07-10T15:23:54Z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