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0CFC4" w14:textId="3A3FFFC5" w:rsidR="00113625" w:rsidRPr="00113625" w:rsidRDefault="00D92513" w:rsidP="00C730C3">
      <w:pPr>
        <w:rPr>
          <w:lang w:eastAsia="en-GB"/>
        </w:rPr>
      </w:pPr>
      <w:r w:rsidRPr="00BD5553">
        <w:drawing>
          <wp:anchor distT="0" distB="0" distL="114300" distR="114300" simplePos="0" relativeHeight="251659264" behindDoc="1" locked="0" layoutInCell="1" allowOverlap="1" wp14:anchorId="67B1A76C" wp14:editId="3E6C0822">
            <wp:simplePos x="0" y="0"/>
            <wp:positionH relativeFrom="margin">
              <wp:align>left</wp:align>
            </wp:positionH>
            <wp:positionV relativeFrom="page">
              <wp:posOffset>742950</wp:posOffset>
            </wp:positionV>
            <wp:extent cx="1274568" cy="744279"/>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74568" cy="744279"/>
                    </a:xfrm>
                    <a:prstGeom prst="rect">
                      <a:avLst/>
                    </a:prstGeom>
                    <a:noFill/>
                  </pic:spPr>
                </pic:pic>
              </a:graphicData>
            </a:graphic>
            <wp14:sizeRelH relativeFrom="page">
              <wp14:pctWidth>0</wp14:pctWidth>
            </wp14:sizeRelH>
            <wp14:sizeRelV relativeFrom="page">
              <wp14:pctHeight>0</wp14:pctHeight>
            </wp14:sizeRelV>
          </wp:anchor>
        </w:drawing>
      </w:r>
    </w:p>
    <w:p w14:paraId="59497648" w14:textId="0780F326" w:rsidR="00113625" w:rsidRPr="00113625" w:rsidRDefault="00113625" w:rsidP="00C730C3">
      <w:pPr>
        <w:rPr>
          <w:lang w:eastAsia="en-GB"/>
        </w:rPr>
      </w:pPr>
    </w:p>
    <w:p w14:paraId="04B86A46" w14:textId="1968E501" w:rsidR="00956821" w:rsidRPr="00C730C3" w:rsidRDefault="00956821" w:rsidP="00C730C3"/>
    <w:tbl>
      <w:tblPr>
        <w:tblStyle w:val="TableGrid"/>
        <w:tblW w:w="0" w:type="auto"/>
        <w:tblLook w:val="04A0" w:firstRow="1" w:lastRow="0" w:firstColumn="1" w:lastColumn="0" w:noHBand="0" w:noVBand="1"/>
      </w:tblPr>
      <w:tblGrid>
        <w:gridCol w:w="2228"/>
        <w:gridCol w:w="2263"/>
        <w:gridCol w:w="4519"/>
      </w:tblGrid>
      <w:tr w:rsidR="00956821" w14:paraId="773E8045" w14:textId="77777777" w:rsidTr="008F059B">
        <w:tc>
          <w:tcPr>
            <w:tcW w:w="4491" w:type="dxa"/>
            <w:gridSpan w:val="2"/>
            <w:tcBorders>
              <w:top w:val="single" w:sz="4" w:space="0" w:color="auto"/>
              <w:left w:val="single" w:sz="4" w:space="0" w:color="auto"/>
              <w:bottom w:val="single" w:sz="4" w:space="0" w:color="auto"/>
              <w:right w:val="single" w:sz="4" w:space="0" w:color="auto"/>
            </w:tcBorders>
            <w:hideMark/>
          </w:tcPr>
          <w:p w14:paraId="31D1A5B8" w14:textId="52672CBC" w:rsidR="00956821" w:rsidRDefault="00956821">
            <w:pPr>
              <w:spacing w:before="120"/>
              <w:rPr>
                <w:rFonts w:asciiTheme="minorHAnsi" w:eastAsiaTheme="minorEastAsia" w:hAnsiTheme="minorHAnsi" w:cstheme="minorHAnsi"/>
                <w:b/>
                <w:noProof w:val="0"/>
                <w:color w:val="auto"/>
                <w:sz w:val="32"/>
                <w:szCs w:val="36"/>
              </w:rPr>
            </w:pPr>
            <w:r>
              <w:rPr>
                <w:rFonts w:cstheme="minorHAnsi"/>
                <w:b/>
                <w:sz w:val="32"/>
                <w:szCs w:val="36"/>
              </w:rPr>
              <w:t xml:space="preserve">Change </w:t>
            </w:r>
            <w:r w:rsidR="00D80878">
              <w:rPr>
                <w:rFonts w:cstheme="minorHAnsi"/>
                <w:b/>
                <w:sz w:val="32"/>
                <w:szCs w:val="36"/>
              </w:rPr>
              <w:t>Note</w:t>
            </w:r>
          </w:p>
        </w:tc>
        <w:tc>
          <w:tcPr>
            <w:tcW w:w="4519" w:type="dxa"/>
            <w:tcBorders>
              <w:top w:val="single" w:sz="4" w:space="0" w:color="auto"/>
              <w:left w:val="single" w:sz="4" w:space="0" w:color="auto"/>
              <w:bottom w:val="single" w:sz="4" w:space="0" w:color="auto"/>
              <w:right w:val="single" w:sz="4" w:space="0" w:color="auto"/>
            </w:tcBorders>
            <w:hideMark/>
          </w:tcPr>
          <w:p w14:paraId="52CF56B7" w14:textId="08D475A9" w:rsidR="00956821" w:rsidRDefault="00956821">
            <w:pPr>
              <w:spacing w:before="120"/>
              <w:rPr>
                <w:rFonts w:cstheme="minorHAnsi"/>
                <w:b/>
                <w:sz w:val="32"/>
                <w:szCs w:val="36"/>
              </w:rPr>
            </w:pPr>
            <w:r>
              <w:rPr>
                <w:rFonts w:cstheme="minorHAnsi"/>
                <w:b/>
                <w:sz w:val="32"/>
                <w:szCs w:val="36"/>
              </w:rPr>
              <w:t>CN-</w:t>
            </w:r>
            <w:r w:rsidR="00586255">
              <w:rPr>
                <w:rFonts w:cstheme="minorHAnsi"/>
                <w:b/>
                <w:sz w:val="32"/>
                <w:szCs w:val="36"/>
              </w:rPr>
              <w:t>074</w:t>
            </w:r>
          </w:p>
        </w:tc>
      </w:tr>
      <w:tr w:rsidR="005A0052" w14:paraId="3742F641" w14:textId="77777777" w:rsidTr="001D49DA">
        <w:tc>
          <w:tcPr>
            <w:tcW w:w="9010" w:type="dxa"/>
            <w:gridSpan w:val="3"/>
            <w:tcBorders>
              <w:top w:val="single" w:sz="4" w:space="0" w:color="auto"/>
              <w:left w:val="single" w:sz="4" w:space="0" w:color="auto"/>
              <w:bottom w:val="single" w:sz="4" w:space="0" w:color="auto"/>
              <w:right w:val="single" w:sz="4" w:space="0" w:color="auto"/>
            </w:tcBorders>
            <w:hideMark/>
          </w:tcPr>
          <w:p w14:paraId="2DEEA52A" w14:textId="7D53FA4A" w:rsidR="005A0052" w:rsidRPr="000047E3" w:rsidRDefault="005A0052" w:rsidP="005A0052">
            <w:pPr>
              <w:spacing w:before="120"/>
              <w:rPr>
                <w:rFonts w:cstheme="minorHAnsi"/>
                <w:b/>
              </w:rPr>
            </w:pPr>
            <w:r w:rsidRPr="000047E3">
              <w:rPr>
                <w:rFonts w:cstheme="minorHAnsi"/>
                <w:b/>
              </w:rPr>
              <w:t xml:space="preserve">Change to: </w:t>
            </w:r>
            <w:r w:rsidRPr="00F52028">
              <w:rPr>
                <w:rFonts w:cstheme="minorHAnsi"/>
                <w:bCs/>
              </w:rPr>
              <w:t>Technical Assumption</w:t>
            </w:r>
            <w:r>
              <w:rPr>
                <w:rFonts w:cstheme="minorHAnsi"/>
                <w:b/>
              </w:rPr>
              <w:t xml:space="preserve"> </w:t>
            </w:r>
            <w:r w:rsidR="00586255">
              <w:rPr>
                <w:rFonts w:cstheme="minorHAnsi"/>
                <w:bCs/>
              </w:rPr>
              <w:t>68</w:t>
            </w:r>
          </w:p>
        </w:tc>
      </w:tr>
      <w:tr w:rsidR="00611AA8" w14:paraId="22EF029D" w14:textId="77777777" w:rsidTr="000C43AC">
        <w:tc>
          <w:tcPr>
            <w:tcW w:w="9010" w:type="dxa"/>
            <w:gridSpan w:val="3"/>
            <w:tcBorders>
              <w:top w:val="single" w:sz="4" w:space="0" w:color="auto"/>
              <w:left w:val="single" w:sz="4" w:space="0" w:color="auto"/>
              <w:bottom w:val="single" w:sz="4" w:space="0" w:color="auto"/>
              <w:right w:val="single" w:sz="4" w:space="0" w:color="auto"/>
            </w:tcBorders>
          </w:tcPr>
          <w:p w14:paraId="3378234D" w14:textId="238B6E6E" w:rsidR="00611AA8" w:rsidRDefault="005A16DA" w:rsidP="000047E3">
            <w:pPr>
              <w:spacing w:before="120"/>
              <w:rPr>
                <w:rFonts w:cstheme="minorHAnsi"/>
                <w:b/>
              </w:rPr>
            </w:pPr>
            <w:r>
              <w:rPr>
                <w:rFonts w:cstheme="minorHAnsi"/>
                <w:b/>
              </w:rPr>
              <w:t xml:space="preserve">Description: </w:t>
            </w:r>
            <w:r w:rsidR="00850DA9">
              <w:rPr>
                <w:rFonts w:cstheme="minorHAnsi"/>
                <w:b/>
              </w:rPr>
              <w:t>Scaling assessment temperature threshold during keepwarm</w:t>
            </w:r>
          </w:p>
        </w:tc>
      </w:tr>
      <w:tr w:rsidR="000047E3" w14:paraId="3CAA0BEA" w14:textId="77777777" w:rsidTr="003A2455">
        <w:tc>
          <w:tcPr>
            <w:tcW w:w="9010" w:type="dxa"/>
            <w:gridSpan w:val="3"/>
            <w:tcBorders>
              <w:top w:val="single" w:sz="4" w:space="0" w:color="auto"/>
              <w:left w:val="single" w:sz="4" w:space="0" w:color="auto"/>
              <w:bottom w:val="single" w:sz="4" w:space="0" w:color="auto"/>
              <w:right w:val="single" w:sz="4" w:space="0" w:color="auto"/>
            </w:tcBorders>
            <w:hideMark/>
          </w:tcPr>
          <w:p w14:paraId="27928FF9" w14:textId="5A08CD7E" w:rsidR="000047E3" w:rsidRDefault="00702036">
            <w:pPr>
              <w:spacing w:before="120"/>
              <w:rPr>
                <w:rFonts w:cstheme="minorHAnsi"/>
                <w:b/>
              </w:rPr>
            </w:pPr>
            <w:r>
              <w:rPr>
                <w:rFonts w:cstheme="minorHAnsi"/>
                <w:b/>
              </w:rPr>
              <w:t>References</w:t>
            </w:r>
            <w:r w:rsidR="0091436B">
              <w:rPr>
                <w:rFonts w:cstheme="minorHAnsi"/>
                <w:b/>
              </w:rPr>
              <w:t>:</w:t>
            </w:r>
            <w:r>
              <w:rPr>
                <w:rFonts w:cstheme="minorHAnsi"/>
                <w:b/>
              </w:rPr>
              <w:t xml:space="preserve"> </w:t>
            </w:r>
            <w:r w:rsidR="00850DA9">
              <w:rPr>
                <w:rFonts w:cstheme="minorHAnsi"/>
                <w:b/>
              </w:rPr>
              <w:t>Scaling assessment and test regime para</w:t>
            </w:r>
            <w:r w:rsidR="004313AC">
              <w:rPr>
                <w:rFonts w:cstheme="minorHAnsi"/>
                <w:b/>
              </w:rPr>
              <w:t>graph 2.26</w:t>
            </w:r>
          </w:p>
        </w:tc>
      </w:tr>
      <w:tr w:rsidR="005D20EE" w14:paraId="39C3AC3F" w14:textId="77777777" w:rsidTr="008F059B">
        <w:tc>
          <w:tcPr>
            <w:tcW w:w="4491" w:type="dxa"/>
            <w:gridSpan w:val="2"/>
            <w:tcBorders>
              <w:top w:val="single" w:sz="4" w:space="0" w:color="auto"/>
              <w:left w:val="single" w:sz="4" w:space="0" w:color="auto"/>
              <w:bottom w:val="single" w:sz="4" w:space="0" w:color="auto"/>
              <w:right w:val="single" w:sz="4" w:space="0" w:color="auto"/>
            </w:tcBorders>
          </w:tcPr>
          <w:p w14:paraId="4F4FCAF5" w14:textId="51582810" w:rsidR="005D20EE" w:rsidRDefault="005D20EE">
            <w:pPr>
              <w:spacing w:before="120"/>
              <w:rPr>
                <w:rFonts w:cstheme="minorHAnsi"/>
                <w:b/>
              </w:rPr>
            </w:pPr>
            <w:r>
              <w:rPr>
                <w:rFonts w:cstheme="minorHAnsi"/>
                <w:b/>
              </w:rPr>
              <w:t xml:space="preserve">Change originator: </w:t>
            </w:r>
            <w:r w:rsidR="004313AC">
              <w:rPr>
                <w:rFonts w:cstheme="minorHAnsi"/>
                <w:bCs/>
              </w:rPr>
              <w:t>DM</w:t>
            </w:r>
          </w:p>
        </w:tc>
        <w:tc>
          <w:tcPr>
            <w:tcW w:w="4519" w:type="dxa"/>
            <w:tcBorders>
              <w:top w:val="single" w:sz="4" w:space="0" w:color="auto"/>
              <w:left w:val="single" w:sz="4" w:space="0" w:color="auto"/>
              <w:bottom w:val="single" w:sz="4" w:space="0" w:color="auto"/>
              <w:right w:val="single" w:sz="4" w:space="0" w:color="auto"/>
            </w:tcBorders>
          </w:tcPr>
          <w:p w14:paraId="4329E85A" w14:textId="4C4B747B" w:rsidR="005D20EE" w:rsidRDefault="003E6A4F">
            <w:pPr>
              <w:spacing w:before="120"/>
              <w:rPr>
                <w:rFonts w:cstheme="minorHAnsi"/>
                <w:b/>
              </w:rPr>
            </w:pPr>
            <w:r>
              <w:rPr>
                <w:rFonts w:cstheme="minorHAnsi"/>
                <w:b/>
              </w:rPr>
              <w:t>Date of request:</w:t>
            </w:r>
            <w:r w:rsidR="00F52028">
              <w:rPr>
                <w:rFonts w:cstheme="minorHAnsi"/>
                <w:b/>
              </w:rPr>
              <w:t xml:space="preserve"> </w:t>
            </w:r>
            <w:r w:rsidR="004313AC">
              <w:rPr>
                <w:rFonts w:cstheme="minorHAnsi"/>
                <w:b/>
              </w:rPr>
              <w:t>22/11/21</w:t>
            </w:r>
          </w:p>
        </w:tc>
      </w:tr>
      <w:tr w:rsidR="008B74D1" w14:paraId="76A6747D" w14:textId="77777777" w:rsidTr="007E627B">
        <w:tc>
          <w:tcPr>
            <w:tcW w:w="2228" w:type="dxa"/>
            <w:tcBorders>
              <w:top w:val="single" w:sz="4" w:space="0" w:color="auto"/>
              <w:left w:val="single" w:sz="4" w:space="0" w:color="auto"/>
              <w:bottom w:val="single" w:sz="4" w:space="0" w:color="auto"/>
              <w:right w:val="single" w:sz="4" w:space="0" w:color="auto"/>
            </w:tcBorders>
          </w:tcPr>
          <w:p w14:paraId="76EAB2E9" w14:textId="36FF1780" w:rsidR="008B74D1" w:rsidRPr="00702036" w:rsidRDefault="008B74D1">
            <w:pPr>
              <w:spacing w:before="120"/>
              <w:rPr>
                <w:rFonts w:cstheme="minorHAnsi"/>
                <w:b/>
                <w:sz w:val="22"/>
                <w:szCs w:val="22"/>
              </w:rPr>
            </w:pPr>
            <w:r>
              <w:rPr>
                <w:rFonts w:cstheme="minorHAnsi"/>
                <w:b/>
              </w:rPr>
              <w:t>Rev:</w:t>
            </w:r>
            <w:r w:rsidR="00702036">
              <w:rPr>
                <w:rFonts w:cstheme="minorHAnsi"/>
                <w:b/>
              </w:rPr>
              <w:t xml:space="preserve"> </w:t>
            </w:r>
            <w:r w:rsidR="004313AC">
              <w:rPr>
                <w:rFonts w:cstheme="minorHAnsi"/>
                <w:b/>
              </w:rPr>
              <w:t>01</w:t>
            </w:r>
          </w:p>
        </w:tc>
        <w:tc>
          <w:tcPr>
            <w:tcW w:w="2263" w:type="dxa"/>
            <w:tcBorders>
              <w:top w:val="single" w:sz="4" w:space="0" w:color="auto"/>
              <w:left w:val="single" w:sz="4" w:space="0" w:color="auto"/>
              <w:bottom w:val="single" w:sz="4" w:space="0" w:color="auto"/>
              <w:right w:val="single" w:sz="4" w:space="0" w:color="auto"/>
            </w:tcBorders>
          </w:tcPr>
          <w:p w14:paraId="06BCA024" w14:textId="5B94246E" w:rsidR="008B74D1" w:rsidRPr="00BD78B5" w:rsidRDefault="008B74D1">
            <w:pPr>
              <w:spacing w:before="120"/>
              <w:rPr>
                <w:rFonts w:cstheme="minorHAnsi"/>
                <w:bCs/>
              </w:rPr>
            </w:pPr>
            <w:r>
              <w:rPr>
                <w:rFonts w:cstheme="minorHAnsi"/>
                <w:b/>
              </w:rPr>
              <w:t xml:space="preserve">Date authored: </w:t>
            </w:r>
            <w:r w:rsidR="004313AC">
              <w:rPr>
                <w:rFonts w:cstheme="minorHAnsi"/>
                <w:bCs/>
              </w:rPr>
              <w:t>22/11/21</w:t>
            </w:r>
          </w:p>
        </w:tc>
        <w:tc>
          <w:tcPr>
            <w:tcW w:w="4519" w:type="dxa"/>
            <w:tcBorders>
              <w:top w:val="single" w:sz="4" w:space="0" w:color="auto"/>
              <w:left w:val="single" w:sz="4" w:space="0" w:color="auto"/>
              <w:bottom w:val="single" w:sz="4" w:space="0" w:color="auto"/>
              <w:right w:val="single" w:sz="4" w:space="0" w:color="auto"/>
            </w:tcBorders>
          </w:tcPr>
          <w:p w14:paraId="6CFB101F" w14:textId="24902F23" w:rsidR="008B74D1" w:rsidRPr="00BD78B5" w:rsidRDefault="008B74D1">
            <w:pPr>
              <w:spacing w:before="120"/>
              <w:rPr>
                <w:rFonts w:cstheme="minorHAnsi"/>
                <w:bCs/>
              </w:rPr>
            </w:pPr>
            <w:r>
              <w:rPr>
                <w:rFonts w:cstheme="minorHAnsi"/>
                <w:b/>
              </w:rPr>
              <w:t xml:space="preserve">Proposed change to assumption: </w:t>
            </w:r>
            <w:r w:rsidRPr="00F52028">
              <w:rPr>
                <w:rFonts w:cstheme="minorHAnsi"/>
                <w:bCs/>
              </w:rPr>
              <w:t>N</w:t>
            </w:r>
            <w:r w:rsidR="005068A0">
              <w:rPr>
                <w:rFonts w:cstheme="minorHAnsi"/>
                <w:bCs/>
              </w:rPr>
              <w:t>o</w:t>
            </w:r>
          </w:p>
        </w:tc>
      </w:tr>
    </w:tbl>
    <w:p w14:paraId="760B949A" w14:textId="3550C471" w:rsidR="00C730C3" w:rsidRDefault="00C730C3" w:rsidP="00C730C3"/>
    <w:p w14:paraId="768CFD7C" w14:textId="0ED1D319" w:rsidR="00C730C3" w:rsidRPr="00B12DCD" w:rsidRDefault="00B12DCD" w:rsidP="00B81F60">
      <w:pPr>
        <w:pStyle w:val="ListParagraph"/>
      </w:pPr>
      <w:r w:rsidRPr="00B12DCD">
        <w:t>Proposed Approach</w:t>
      </w:r>
    </w:p>
    <w:p w14:paraId="0740B368" w14:textId="2DC5AA21" w:rsidR="004313AC" w:rsidRDefault="004313AC" w:rsidP="004313AC">
      <w:r>
        <w:t>During keep-warm test t12 shall not exceed 55</w:t>
      </w:r>
      <w:r w:rsidR="00133E07">
        <w:t>°</w:t>
      </w:r>
      <w:r>
        <w:t>C at any time only if the keep-warm flow passes through the DHW heat exchanger.</w:t>
      </w:r>
    </w:p>
    <w:p w14:paraId="4B1F8CD2" w14:textId="131C861D" w:rsidR="00517E8A" w:rsidRDefault="004313AC" w:rsidP="004313AC">
      <w:r>
        <w:t>If the keep-warm flow passes through the DHW heat exchanger and T12 exceeds 50</w:t>
      </w:r>
      <w:r w:rsidR="00133E07">
        <w:t>°</w:t>
      </w:r>
      <w:r>
        <w:t>C during the keep-warm test, the HIU receives a note identifying the scaling risk potential. The note will identify what percentage % (of time) during keepwarm cycling the HIU spends above 50</w:t>
      </w:r>
      <w:r w:rsidR="00133E07">
        <w:t>°</w:t>
      </w:r>
      <w:r>
        <w:t>C, and warns that the greater that percentage the greater will be the scaling risk.</w:t>
      </w:r>
    </w:p>
    <w:p w14:paraId="6DC908FC" w14:textId="274EB693" w:rsidR="00B12DCD" w:rsidRDefault="00A44DA4" w:rsidP="00B12DCD">
      <w:r w:rsidRPr="00A44DA4">
        <w:t>It should be noted in the test regime and on any test reports that those HIUs which during the keep-warm function only pre-heat the pipework inside the HIU without directly heating the DHW plate heat exchanger are allowed to exceed the criteria without being penalised by having a “Fail” or “Note”. This is because the primary flow through the HIU does not heat the cold water in the DHW plate heat exchanger and therefore does not contribute to scaling formation. Nonetheless, the temperature monitoring as well as the keepwarm test itself is still required.</w:t>
      </w:r>
    </w:p>
    <w:p w14:paraId="1B5FD5AB" w14:textId="301E2B9D" w:rsidR="00B12DCD" w:rsidRPr="00B12DCD" w:rsidRDefault="00B12DCD" w:rsidP="00B81F60">
      <w:pPr>
        <w:pStyle w:val="ListParagraph"/>
      </w:pPr>
      <w:r w:rsidRPr="00B12DCD">
        <w:t>Rationale (underlying basis for the change)</w:t>
      </w:r>
    </w:p>
    <w:p w14:paraId="10B9E96D" w14:textId="5D9DE574" w:rsidR="00B12DCD" w:rsidRDefault="00CE614C" w:rsidP="00B12DCD">
      <w:r w:rsidRPr="00CE614C">
        <w:t>Scaling of the DHW heat exchanger is a real concern for performance, especially long-term performance. While the lower keepwarm set temperature below 50C is expected to help and to reduce the rate of scale formation it does not stop it entirely.</w:t>
      </w:r>
    </w:p>
    <w:p w14:paraId="00E2DE91" w14:textId="5E7D2C83" w:rsidR="00B12DCD" w:rsidRPr="00B12DCD" w:rsidRDefault="00B12DCD" w:rsidP="00B81F60">
      <w:pPr>
        <w:pStyle w:val="ListParagraph"/>
      </w:pPr>
      <w:r w:rsidRPr="00B12DCD">
        <w:t>Impact of change (e.g. implications for test rig)</w:t>
      </w:r>
    </w:p>
    <w:p w14:paraId="7CC98963" w14:textId="729EEAAB" w:rsidR="00517E8A" w:rsidRDefault="00CE614C" w:rsidP="00B12DCD">
      <w:r>
        <w:t>Additional reporting requirements</w:t>
      </w:r>
    </w:p>
    <w:p w14:paraId="559D8C85" w14:textId="1824A176" w:rsidR="00CE614C" w:rsidRDefault="00CE614C" w:rsidP="00B12DCD"/>
    <w:p w14:paraId="5052E8DC" w14:textId="77777777" w:rsidR="00CE614C" w:rsidRDefault="00CE614C" w:rsidP="00B12DCD"/>
    <w:p w14:paraId="09948E3C" w14:textId="23213DFC" w:rsidR="00B12DCD" w:rsidRDefault="00B12DCD" w:rsidP="00B12DCD"/>
    <w:tbl>
      <w:tblPr>
        <w:tblStyle w:val="TableGrid"/>
        <w:tblW w:w="0" w:type="auto"/>
        <w:tblLook w:val="04A0" w:firstRow="1" w:lastRow="0" w:firstColumn="1" w:lastColumn="0" w:noHBand="0" w:noVBand="1"/>
      </w:tblPr>
      <w:tblGrid>
        <w:gridCol w:w="2228"/>
        <w:gridCol w:w="2263"/>
        <w:gridCol w:w="2259"/>
        <w:gridCol w:w="2260"/>
      </w:tblGrid>
      <w:tr w:rsidR="00B12DCD" w:rsidRPr="00B81F60" w14:paraId="45032833" w14:textId="77777777" w:rsidTr="00C435C6">
        <w:tc>
          <w:tcPr>
            <w:tcW w:w="9010" w:type="dxa"/>
            <w:gridSpan w:val="4"/>
            <w:tcBorders>
              <w:top w:val="single" w:sz="4" w:space="0" w:color="auto"/>
              <w:left w:val="single" w:sz="4" w:space="0" w:color="auto"/>
              <w:bottom w:val="single" w:sz="4" w:space="0" w:color="auto"/>
              <w:right w:val="single" w:sz="4" w:space="0" w:color="auto"/>
            </w:tcBorders>
            <w:hideMark/>
          </w:tcPr>
          <w:p w14:paraId="072C2E91" w14:textId="3005D362" w:rsidR="00B12DCD" w:rsidRPr="00B81F60" w:rsidRDefault="00B81F60" w:rsidP="00C435C6">
            <w:pPr>
              <w:spacing w:before="120"/>
              <w:rPr>
                <w:rFonts w:cstheme="minorHAnsi"/>
                <w:b/>
                <w:sz w:val="32"/>
                <w:szCs w:val="32"/>
              </w:rPr>
            </w:pPr>
            <w:r w:rsidRPr="00B81F60">
              <w:rPr>
                <w:rFonts w:cstheme="minorHAnsi"/>
                <w:b/>
                <w:sz w:val="32"/>
                <w:szCs w:val="32"/>
              </w:rPr>
              <w:lastRenderedPageBreak/>
              <w:t>Evaluation of change</w:t>
            </w:r>
          </w:p>
        </w:tc>
      </w:tr>
      <w:tr w:rsidR="001C5F6F" w14:paraId="31C034A0" w14:textId="77777777" w:rsidTr="008236E0">
        <w:tc>
          <w:tcPr>
            <w:tcW w:w="2228" w:type="dxa"/>
            <w:tcBorders>
              <w:top w:val="single" w:sz="4" w:space="0" w:color="auto"/>
              <w:left w:val="single" w:sz="4" w:space="0" w:color="auto"/>
              <w:bottom w:val="single" w:sz="4" w:space="0" w:color="auto"/>
              <w:right w:val="single" w:sz="4" w:space="0" w:color="auto"/>
            </w:tcBorders>
          </w:tcPr>
          <w:p w14:paraId="0A81A124" w14:textId="16DA5499" w:rsidR="001C5F6F" w:rsidRDefault="001C5F6F" w:rsidP="00C5730A">
            <w:pPr>
              <w:spacing w:before="120"/>
              <w:rPr>
                <w:rFonts w:cstheme="minorHAnsi"/>
              </w:rPr>
            </w:pPr>
            <w:r>
              <w:rPr>
                <w:rFonts w:cstheme="minorHAnsi"/>
                <w:b/>
              </w:rPr>
              <w:t>Date evaluated:</w:t>
            </w:r>
            <w:r w:rsidR="00C5730A">
              <w:rPr>
                <w:rFonts w:cstheme="minorHAnsi"/>
                <w:b/>
              </w:rPr>
              <w:t xml:space="preserve"> </w:t>
            </w:r>
            <w:r w:rsidR="00B045F4">
              <w:rPr>
                <w:rFonts w:cstheme="minorHAnsi"/>
                <w:bCs/>
              </w:rPr>
              <w:t>14/12/22</w:t>
            </w:r>
          </w:p>
        </w:tc>
        <w:tc>
          <w:tcPr>
            <w:tcW w:w="2263" w:type="dxa"/>
            <w:tcBorders>
              <w:top w:val="single" w:sz="4" w:space="0" w:color="auto"/>
              <w:left w:val="single" w:sz="4" w:space="0" w:color="auto"/>
              <w:bottom w:val="single" w:sz="4" w:space="0" w:color="auto"/>
              <w:right w:val="single" w:sz="4" w:space="0" w:color="auto"/>
            </w:tcBorders>
          </w:tcPr>
          <w:p w14:paraId="33DAAF65" w14:textId="6BC9C4C2" w:rsidR="001C5F6F" w:rsidRPr="00C5730A" w:rsidRDefault="001C5F6F" w:rsidP="001C5F6F">
            <w:pPr>
              <w:spacing w:before="120"/>
              <w:rPr>
                <w:rFonts w:cstheme="minorHAnsi"/>
                <w:b/>
              </w:rPr>
            </w:pPr>
            <w:r>
              <w:rPr>
                <w:rFonts w:cstheme="minorHAnsi"/>
                <w:b/>
              </w:rPr>
              <w:t>Those present:</w:t>
            </w:r>
            <w:r w:rsidR="00C5730A">
              <w:rPr>
                <w:rFonts w:cstheme="minorHAnsi"/>
                <w:b/>
              </w:rPr>
              <w:t xml:space="preserve"> </w:t>
            </w:r>
            <w:r w:rsidR="00B045F4">
              <w:rPr>
                <w:rFonts w:cstheme="minorHAnsi"/>
                <w:b/>
              </w:rPr>
              <w:t>BESA HIU Technical Committee</w:t>
            </w:r>
          </w:p>
        </w:tc>
        <w:tc>
          <w:tcPr>
            <w:tcW w:w="2259" w:type="dxa"/>
            <w:tcBorders>
              <w:top w:val="single" w:sz="4" w:space="0" w:color="auto"/>
              <w:left w:val="single" w:sz="4" w:space="0" w:color="auto"/>
              <w:bottom w:val="single" w:sz="4" w:space="0" w:color="auto"/>
              <w:right w:val="single" w:sz="4" w:space="0" w:color="auto"/>
            </w:tcBorders>
          </w:tcPr>
          <w:p w14:paraId="2FA1DF61" w14:textId="3F701B22" w:rsidR="001C5F6F" w:rsidRDefault="001C5F6F" w:rsidP="001C5F6F">
            <w:pPr>
              <w:spacing w:before="120"/>
              <w:rPr>
                <w:rFonts w:cstheme="minorHAnsi"/>
                <w:b/>
              </w:rPr>
            </w:pPr>
            <w:r>
              <w:rPr>
                <w:rFonts w:cstheme="minorHAnsi"/>
                <w:b/>
              </w:rPr>
              <w:t xml:space="preserve">Additional info required?: </w:t>
            </w:r>
            <w:r w:rsidR="00B045F4">
              <w:rPr>
                <w:rFonts w:cstheme="minorHAnsi"/>
                <w:b/>
              </w:rPr>
              <w:t>No</w:t>
            </w:r>
          </w:p>
        </w:tc>
        <w:tc>
          <w:tcPr>
            <w:tcW w:w="2260" w:type="dxa"/>
            <w:tcBorders>
              <w:top w:val="single" w:sz="4" w:space="0" w:color="auto"/>
              <w:left w:val="single" w:sz="4" w:space="0" w:color="auto"/>
              <w:bottom w:val="single" w:sz="4" w:space="0" w:color="auto"/>
              <w:right w:val="single" w:sz="4" w:space="0" w:color="auto"/>
            </w:tcBorders>
          </w:tcPr>
          <w:p w14:paraId="56666868" w14:textId="578CF449" w:rsidR="001C5F6F" w:rsidRDefault="001C5F6F" w:rsidP="001C5F6F">
            <w:pPr>
              <w:spacing w:before="120"/>
              <w:rPr>
                <w:rFonts w:cstheme="minorHAnsi"/>
              </w:rPr>
            </w:pPr>
            <w:r>
              <w:rPr>
                <w:rFonts w:cstheme="minorHAnsi"/>
                <w:b/>
              </w:rPr>
              <w:t xml:space="preserve">Modification to proposed approach?: </w:t>
            </w:r>
            <w:r w:rsidR="00B045F4">
              <w:rPr>
                <w:rFonts w:cstheme="minorHAnsi"/>
                <w:b/>
              </w:rPr>
              <w:t>No</w:t>
            </w:r>
          </w:p>
        </w:tc>
      </w:tr>
      <w:tr w:rsidR="00B12DCD" w14:paraId="55F01097" w14:textId="77777777" w:rsidTr="00C435C6">
        <w:tc>
          <w:tcPr>
            <w:tcW w:w="9010" w:type="dxa"/>
            <w:gridSpan w:val="4"/>
            <w:tcBorders>
              <w:top w:val="single" w:sz="4" w:space="0" w:color="auto"/>
              <w:left w:val="single" w:sz="4" w:space="0" w:color="auto"/>
              <w:bottom w:val="single" w:sz="4" w:space="0" w:color="auto"/>
              <w:right w:val="single" w:sz="4" w:space="0" w:color="auto"/>
            </w:tcBorders>
            <w:hideMark/>
          </w:tcPr>
          <w:p w14:paraId="2529F6DC" w14:textId="3C2346FC" w:rsidR="001C5F6F" w:rsidRDefault="001C5F6F" w:rsidP="00C435C6">
            <w:pPr>
              <w:spacing w:before="120"/>
              <w:rPr>
                <w:rFonts w:cstheme="minorHAnsi"/>
                <w:b/>
              </w:rPr>
            </w:pPr>
            <w:r>
              <w:rPr>
                <w:rFonts w:cstheme="minorHAnsi"/>
                <w:b/>
              </w:rPr>
              <w:t>Details</w:t>
            </w:r>
            <w:r w:rsidR="00B045F4">
              <w:rPr>
                <w:rFonts w:cstheme="minorHAnsi"/>
                <w:b/>
              </w:rPr>
              <w:t>: Rationale detailed in TN-029</w:t>
            </w:r>
          </w:p>
        </w:tc>
      </w:tr>
      <w:tr w:rsidR="001C5F6F" w14:paraId="4EE52E22" w14:textId="77777777" w:rsidTr="007D5CDD">
        <w:tc>
          <w:tcPr>
            <w:tcW w:w="9010" w:type="dxa"/>
            <w:gridSpan w:val="4"/>
            <w:tcBorders>
              <w:top w:val="single" w:sz="4" w:space="0" w:color="auto"/>
              <w:left w:val="single" w:sz="4" w:space="0" w:color="auto"/>
              <w:bottom w:val="single" w:sz="4" w:space="0" w:color="auto"/>
              <w:right w:val="single" w:sz="4" w:space="0" w:color="auto"/>
            </w:tcBorders>
          </w:tcPr>
          <w:p w14:paraId="61BDF176" w14:textId="24A38163" w:rsidR="001C5F6F" w:rsidRDefault="001C5F6F" w:rsidP="00C435C6">
            <w:pPr>
              <w:spacing w:before="120"/>
              <w:rPr>
                <w:rFonts w:cstheme="minorHAnsi"/>
                <w:b/>
              </w:rPr>
            </w:pPr>
            <w:r>
              <w:rPr>
                <w:rFonts w:cstheme="minorHAnsi"/>
                <w:b/>
              </w:rPr>
              <w:t xml:space="preserve">Signed off: </w:t>
            </w:r>
            <w:r w:rsidRPr="00C5730A">
              <w:rPr>
                <w:rFonts w:cstheme="minorHAnsi"/>
                <w:bCs/>
              </w:rPr>
              <w:t>Y</w:t>
            </w:r>
            <w:r w:rsidR="00B045F4">
              <w:rPr>
                <w:rFonts w:cstheme="minorHAnsi"/>
                <w:bCs/>
              </w:rPr>
              <w:t>es</w:t>
            </w:r>
          </w:p>
        </w:tc>
      </w:tr>
    </w:tbl>
    <w:p w14:paraId="4D53AA23" w14:textId="77777777" w:rsidR="00B12DCD" w:rsidRDefault="00B12DCD" w:rsidP="00B12DCD"/>
    <w:sectPr w:rsidR="00B12DCD" w:rsidSect="00BC4C68">
      <w:headerReference w:type="even" r:id="rId12"/>
      <w:headerReference w:type="default" r:id="rId13"/>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23E6E" w14:textId="77777777" w:rsidR="00674C77" w:rsidRDefault="00674C77" w:rsidP="00C730C3">
      <w:r>
        <w:separator/>
      </w:r>
    </w:p>
  </w:endnote>
  <w:endnote w:type="continuationSeparator" w:id="0">
    <w:p w14:paraId="11C4B694" w14:textId="77777777" w:rsidR="00674C77" w:rsidRDefault="00674C77" w:rsidP="00C73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32CCE" w14:textId="77777777" w:rsidR="00674C77" w:rsidRDefault="00674C77" w:rsidP="00C730C3">
      <w:r>
        <w:separator/>
      </w:r>
    </w:p>
  </w:footnote>
  <w:footnote w:type="continuationSeparator" w:id="0">
    <w:p w14:paraId="3F630052" w14:textId="77777777" w:rsidR="00674C77" w:rsidRDefault="00674C77" w:rsidP="00C730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171B6" w14:textId="77777777" w:rsidR="00BC4C68" w:rsidRDefault="00BC4C68" w:rsidP="00C730C3">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3ED41D72" w14:textId="77777777" w:rsidR="00BC4C68" w:rsidRDefault="00BC4C68" w:rsidP="00C730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81ADE" w14:textId="77777777" w:rsidR="00BC4C68" w:rsidRDefault="00BC4C68" w:rsidP="00C730C3">
    <w:pPr>
      <w:pStyle w:val="Header"/>
      <w:rPr>
        <w:rStyle w:val="PageNumber"/>
      </w:rPr>
    </w:pPr>
    <w:r>
      <w:rPr>
        <w:rStyle w:val="PageNumber"/>
      </w:rPr>
      <w:fldChar w:fldCharType="begin"/>
    </w:r>
    <w:r>
      <w:rPr>
        <w:rStyle w:val="PageNumber"/>
      </w:rPr>
      <w:instrText xml:space="preserve">PAGE  </w:instrText>
    </w:r>
    <w:r>
      <w:rPr>
        <w:rStyle w:val="PageNumber"/>
      </w:rPr>
      <w:fldChar w:fldCharType="separate"/>
    </w:r>
    <w:r w:rsidR="00185FE7">
      <w:rPr>
        <w:rStyle w:val="PageNumber"/>
      </w:rPr>
      <w:t>2</w:t>
    </w:r>
    <w:r>
      <w:rPr>
        <w:rStyle w:val="PageNumber"/>
      </w:rPr>
      <w:fldChar w:fldCharType="end"/>
    </w:r>
    <w:r>
      <w:rPr>
        <w:rStyle w:val="PageNumber"/>
      </w:rPr>
      <w:t xml:space="preserve">  </w:t>
    </w:r>
  </w:p>
  <w:p w14:paraId="32ABAA6A" w14:textId="77777777" w:rsidR="00BC4C68" w:rsidRDefault="00BC4C68" w:rsidP="00C730C3">
    <w:pPr>
      <w:pStyle w:val="Header"/>
    </w:pPr>
    <w:r>
      <w:t>HIU Test Standard Group</w:t>
    </w:r>
    <w:r>
      <w:ptab w:relativeTo="margin" w:alignment="center" w:leader="none"/>
    </w:r>
    <w:r>
      <w:t>CONFIDENTIAL</w:t>
    </w:r>
    <w:r>
      <w:ptab w:relativeTo="margin" w:alignment="right" w:leader="none"/>
    </w:r>
    <w:r>
      <w:t xml:space="preserve">Page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20DCC"/>
    <w:multiLevelType w:val="hybridMultilevel"/>
    <w:tmpl w:val="91A4B4F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C6A136C"/>
    <w:multiLevelType w:val="hybridMultilevel"/>
    <w:tmpl w:val="90D6C5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CF02B6B"/>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D403E41"/>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BC1E22"/>
    <w:multiLevelType w:val="hybridMultilevel"/>
    <w:tmpl w:val="79C4EE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D0F1D11"/>
    <w:multiLevelType w:val="hybridMultilevel"/>
    <w:tmpl w:val="C11A8A62"/>
    <w:lvl w:ilvl="0" w:tplc="DD04628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FD76E6B"/>
    <w:multiLevelType w:val="hybridMultilevel"/>
    <w:tmpl w:val="9E6AC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0844187"/>
    <w:multiLevelType w:val="hybridMultilevel"/>
    <w:tmpl w:val="9C20154A"/>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249334A"/>
    <w:multiLevelType w:val="hybridMultilevel"/>
    <w:tmpl w:val="A7DAC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50155AC"/>
    <w:multiLevelType w:val="hybridMultilevel"/>
    <w:tmpl w:val="771E53E8"/>
    <w:lvl w:ilvl="0" w:tplc="7AF20154">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616896"/>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0842681">
    <w:abstractNumId w:val="6"/>
  </w:num>
  <w:num w:numId="2" w16cid:durableId="456141004">
    <w:abstractNumId w:val="5"/>
  </w:num>
  <w:num w:numId="3" w16cid:durableId="449398178">
    <w:abstractNumId w:val="10"/>
  </w:num>
  <w:num w:numId="4" w16cid:durableId="316081781">
    <w:abstractNumId w:val="3"/>
  </w:num>
  <w:num w:numId="5" w16cid:durableId="559900603">
    <w:abstractNumId w:val="4"/>
  </w:num>
  <w:num w:numId="6" w16cid:durableId="157429047">
    <w:abstractNumId w:val="8"/>
  </w:num>
  <w:num w:numId="7" w16cid:durableId="1409882239">
    <w:abstractNumId w:val="2"/>
  </w:num>
  <w:num w:numId="8" w16cid:durableId="1130242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02234708">
    <w:abstractNumId w:val="1"/>
  </w:num>
  <w:num w:numId="10" w16cid:durableId="1959098660">
    <w:abstractNumId w:val="7"/>
  </w:num>
  <w:num w:numId="11" w16cid:durableId="1412963667">
    <w:abstractNumId w:val="0"/>
  </w:num>
  <w:num w:numId="12" w16cid:durableId="2468089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C28"/>
    <w:rsid w:val="000047E3"/>
    <w:rsid w:val="00007E9F"/>
    <w:rsid w:val="00041EA2"/>
    <w:rsid w:val="000B6627"/>
    <w:rsid w:val="000D351C"/>
    <w:rsid w:val="000D7AA2"/>
    <w:rsid w:val="000E2E72"/>
    <w:rsid w:val="00113625"/>
    <w:rsid w:val="00124F5A"/>
    <w:rsid w:val="00126DD1"/>
    <w:rsid w:val="00133E07"/>
    <w:rsid w:val="00162148"/>
    <w:rsid w:val="001742AF"/>
    <w:rsid w:val="00185FE7"/>
    <w:rsid w:val="001963E1"/>
    <w:rsid w:val="001C5F6F"/>
    <w:rsid w:val="001C7692"/>
    <w:rsid w:val="002678A4"/>
    <w:rsid w:val="002A40F0"/>
    <w:rsid w:val="002F2994"/>
    <w:rsid w:val="003005F8"/>
    <w:rsid w:val="003067CE"/>
    <w:rsid w:val="003130A5"/>
    <w:rsid w:val="003171CA"/>
    <w:rsid w:val="003320E2"/>
    <w:rsid w:val="0034504D"/>
    <w:rsid w:val="00345E14"/>
    <w:rsid w:val="003922A7"/>
    <w:rsid w:val="003B43A1"/>
    <w:rsid w:val="003E3E08"/>
    <w:rsid w:val="003E6A4F"/>
    <w:rsid w:val="00410041"/>
    <w:rsid w:val="004313AC"/>
    <w:rsid w:val="00464649"/>
    <w:rsid w:val="00482724"/>
    <w:rsid w:val="004B6299"/>
    <w:rsid w:val="004E1CEE"/>
    <w:rsid w:val="004E7934"/>
    <w:rsid w:val="004F5D6E"/>
    <w:rsid w:val="00502AE9"/>
    <w:rsid w:val="005068A0"/>
    <w:rsid w:val="00517E8A"/>
    <w:rsid w:val="00535669"/>
    <w:rsid w:val="0055179B"/>
    <w:rsid w:val="005720DB"/>
    <w:rsid w:val="00586255"/>
    <w:rsid w:val="005A0052"/>
    <w:rsid w:val="005A16DA"/>
    <w:rsid w:val="005D20EE"/>
    <w:rsid w:val="005D5F24"/>
    <w:rsid w:val="005D672B"/>
    <w:rsid w:val="005F044A"/>
    <w:rsid w:val="00611AA8"/>
    <w:rsid w:val="0064001C"/>
    <w:rsid w:val="00673A4B"/>
    <w:rsid w:val="00674C77"/>
    <w:rsid w:val="00696C33"/>
    <w:rsid w:val="006F571B"/>
    <w:rsid w:val="00700B3C"/>
    <w:rsid w:val="00702036"/>
    <w:rsid w:val="00716E85"/>
    <w:rsid w:val="00786904"/>
    <w:rsid w:val="007B2C28"/>
    <w:rsid w:val="007C628E"/>
    <w:rsid w:val="00811B91"/>
    <w:rsid w:val="00850DA9"/>
    <w:rsid w:val="008520BB"/>
    <w:rsid w:val="00873AD2"/>
    <w:rsid w:val="00880F85"/>
    <w:rsid w:val="008B3162"/>
    <w:rsid w:val="008B74D1"/>
    <w:rsid w:val="008D0B74"/>
    <w:rsid w:val="008F059B"/>
    <w:rsid w:val="0091436B"/>
    <w:rsid w:val="00956821"/>
    <w:rsid w:val="0096016F"/>
    <w:rsid w:val="00962FEC"/>
    <w:rsid w:val="009838D8"/>
    <w:rsid w:val="009860AC"/>
    <w:rsid w:val="00A0152F"/>
    <w:rsid w:val="00A44DA4"/>
    <w:rsid w:val="00AF28F0"/>
    <w:rsid w:val="00B045F4"/>
    <w:rsid w:val="00B11A68"/>
    <w:rsid w:val="00B12DCD"/>
    <w:rsid w:val="00B81F60"/>
    <w:rsid w:val="00BC4C68"/>
    <w:rsid w:val="00BD78B5"/>
    <w:rsid w:val="00C03342"/>
    <w:rsid w:val="00C202E7"/>
    <w:rsid w:val="00C5730A"/>
    <w:rsid w:val="00C730C3"/>
    <w:rsid w:val="00C816E1"/>
    <w:rsid w:val="00CC1E74"/>
    <w:rsid w:val="00CE5A21"/>
    <w:rsid w:val="00CE614C"/>
    <w:rsid w:val="00D80878"/>
    <w:rsid w:val="00D92513"/>
    <w:rsid w:val="00ED1844"/>
    <w:rsid w:val="00EF6D8D"/>
    <w:rsid w:val="00F52028"/>
    <w:rsid w:val="00F72FD7"/>
    <w:rsid w:val="00F842AC"/>
    <w:rsid w:val="00FF686D"/>
    <w:rsid w:val="0529DD3C"/>
    <w:rsid w:val="33238341"/>
    <w:rsid w:val="3E1B18D6"/>
    <w:rsid w:val="551C9001"/>
    <w:rsid w:val="62E2B5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6F5A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qFormat/>
    <w:rsid w:val="00B81F60"/>
    <w:pPr>
      <w:spacing w:after="120"/>
    </w:pPr>
    <w:rPr>
      <w:rFonts w:ascii="Calibri" w:eastAsia="Calibri" w:hAnsi="Calibri" w:cs="Calibri"/>
      <w:noProof/>
      <w:color w:val="000000" w:themeColor="text1"/>
    </w:rPr>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1F60"/>
    <w:pPr>
      <w:numPr>
        <w:numId w:val="12"/>
      </w:numPr>
      <w:ind w:left="425" w:hanging="425"/>
      <w:contextualSpacing/>
    </w:pPr>
    <w:rPr>
      <w:b/>
      <w:bCs/>
    </w:rPr>
  </w:style>
  <w:style w:type="paragraph" w:styleId="NormalWeb">
    <w:name w:val="Normal (Web)"/>
    <w:basedOn w:val="Normal"/>
    <w:uiPriority w:val="99"/>
    <w:semiHidden/>
    <w:unhideWhenUsed/>
    <w:rsid w:val="00BC4C68"/>
    <w:pPr>
      <w:spacing w:before="100" w:beforeAutospacing="1" w:after="100" w:afterAutospacing="1"/>
    </w:pPr>
    <w:rPr>
      <w:rFonts w:ascii="Times New Roman" w:hAnsi="Times New Roman" w:cs="Times New Roman"/>
      <w:lang w:eastAsia="en-GB"/>
    </w:rPr>
  </w:style>
  <w:style w:type="paragraph" w:styleId="Header">
    <w:name w:val="header"/>
    <w:basedOn w:val="Normal"/>
    <w:link w:val="HeaderChar"/>
    <w:uiPriority w:val="99"/>
    <w:unhideWhenUsed/>
    <w:rsid w:val="00BC4C68"/>
    <w:pPr>
      <w:tabs>
        <w:tab w:val="center" w:pos="4513"/>
        <w:tab w:val="right" w:pos="9026"/>
      </w:tabs>
    </w:pPr>
  </w:style>
  <w:style w:type="character" w:customStyle="1" w:styleId="HeaderChar">
    <w:name w:val="Header Char"/>
    <w:basedOn w:val="DefaultParagraphFont"/>
    <w:link w:val="Header"/>
    <w:uiPriority w:val="99"/>
    <w:rsid w:val="00BC4C68"/>
  </w:style>
  <w:style w:type="paragraph" w:styleId="Footer">
    <w:name w:val="footer"/>
    <w:basedOn w:val="Normal"/>
    <w:link w:val="FooterChar"/>
    <w:uiPriority w:val="99"/>
    <w:unhideWhenUsed/>
    <w:rsid w:val="00BC4C68"/>
    <w:pPr>
      <w:tabs>
        <w:tab w:val="center" w:pos="4513"/>
        <w:tab w:val="right" w:pos="9026"/>
      </w:tabs>
    </w:pPr>
  </w:style>
  <w:style w:type="character" w:customStyle="1" w:styleId="FooterChar">
    <w:name w:val="Footer Char"/>
    <w:basedOn w:val="DefaultParagraphFont"/>
    <w:link w:val="Footer"/>
    <w:uiPriority w:val="99"/>
    <w:rsid w:val="00BC4C68"/>
  </w:style>
  <w:style w:type="character" w:styleId="PageNumber">
    <w:name w:val="page number"/>
    <w:basedOn w:val="DefaultParagraphFont"/>
    <w:uiPriority w:val="99"/>
    <w:semiHidden/>
    <w:unhideWhenUsed/>
    <w:rsid w:val="00BC4C68"/>
  </w:style>
  <w:style w:type="table" w:styleId="TableGrid">
    <w:name w:val="Table Grid"/>
    <w:basedOn w:val="TableNormal"/>
    <w:uiPriority w:val="59"/>
    <w:rsid w:val="00124F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958832">
      <w:bodyDiv w:val="1"/>
      <w:marLeft w:val="0"/>
      <w:marRight w:val="0"/>
      <w:marTop w:val="0"/>
      <w:marBottom w:val="0"/>
      <w:divBdr>
        <w:top w:val="none" w:sz="0" w:space="0" w:color="auto"/>
        <w:left w:val="none" w:sz="0" w:space="0" w:color="auto"/>
        <w:bottom w:val="none" w:sz="0" w:space="0" w:color="auto"/>
        <w:right w:val="none" w:sz="0" w:space="0" w:color="auto"/>
      </w:divBdr>
    </w:div>
    <w:div w:id="1398743255">
      <w:bodyDiv w:val="1"/>
      <w:marLeft w:val="0"/>
      <w:marRight w:val="0"/>
      <w:marTop w:val="0"/>
      <w:marBottom w:val="0"/>
      <w:divBdr>
        <w:top w:val="none" w:sz="0" w:space="0" w:color="auto"/>
        <w:left w:val="none" w:sz="0" w:space="0" w:color="auto"/>
        <w:bottom w:val="none" w:sz="0" w:space="0" w:color="auto"/>
        <w:right w:val="none" w:sz="0" w:space="0" w:color="auto"/>
      </w:divBdr>
      <w:divsChild>
        <w:div w:id="1061321949">
          <w:marLeft w:val="0"/>
          <w:marRight w:val="0"/>
          <w:marTop w:val="0"/>
          <w:marBottom w:val="0"/>
          <w:divBdr>
            <w:top w:val="none" w:sz="0" w:space="0" w:color="auto"/>
            <w:left w:val="none" w:sz="0" w:space="0" w:color="auto"/>
            <w:bottom w:val="none" w:sz="0" w:space="0" w:color="auto"/>
            <w:right w:val="none" w:sz="0" w:space="0" w:color="auto"/>
          </w:divBdr>
          <w:divsChild>
            <w:div w:id="496503073">
              <w:marLeft w:val="0"/>
              <w:marRight w:val="0"/>
              <w:marTop w:val="0"/>
              <w:marBottom w:val="0"/>
              <w:divBdr>
                <w:top w:val="none" w:sz="0" w:space="0" w:color="auto"/>
                <w:left w:val="none" w:sz="0" w:space="0" w:color="auto"/>
                <w:bottom w:val="none" w:sz="0" w:space="0" w:color="auto"/>
                <w:right w:val="none" w:sz="0" w:space="0" w:color="auto"/>
              </w:divBdr>
              <w:divsChild>
                <w:div w:id="69974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99929">
      <w:bodyDiv w:val="1"/>
      <w:marLeft w:val="0"/>
      <w:marRight w:val="0"/>
      <w:marTop w:val="0"/>
      <w:marBottom w:val="0"/>
      <w:divBdr>
        <w:top w:val="none" w:sz="0" w:space="0" w:color="auto"/>
        <w:left w:val="none" w:sz="0" w:space="0" w:color="auto"/>
        <w:bottom w:val="none" w:sz="0" w:space="0" w:color="auto"/>
        <w:right w:val="none" w:sz="0" w:space="0" w:color="auto"/>
      </w:divBdr>
    </w:div>
    <w:div w:id="20554244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B6DC498062F0D24B9728CC3DEABA7DB0" ma:contentTypeVersion="15" ma:contentTypeDescription="Create a new document." ma:contentTypeScope="" ma:versionID="a34187cab06abf82d281738e0c1b5f9a">
  <xsd:schema xmlns:xsd="http://www.w3.org/2001/XMLSchema" xmlns:xs="http://www.w3.org/2001/XMLSchema" xmlns:p="http://schemas.microsoft.com/office/2006/metadata/properties" xmlns:ns2="394d8203-4eba-47b9-82f0-06811e3cd0ce" xmlns:ns3="6d10c29a-790e-4860-b978-88be68d36285" targetNamespace="http://schemas.microsoft.com/office/2006/metadata/properties" ma:root="true" ma:fieldsID="6f94d546d9c2eedd466ab5bbf555004a" ns2:_="" ns3:_="">
    <xsd:import namespace="394d8203-4eba-47b9-82f0-06811e3cd0ce"/>
    <xsd:import namespace="6d10c29a-790e-4860-b978-88be68d3628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4d8203-4eba-47b9-82f0-06811e3cd0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10c29a-790e-4860-b978-88be68d3628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EB3115-4D68-40F0-BB9F-8610FD538675}">
  <ds:schemaRefs>
    <ds:schemaRef ds:uri="http://schemas.microsoft.com/sharepoint/v3/contenttype/forms"/>
  </ds:schemaRefs>
</ds:datastoreItem>
</file>

<file path=customXml/itemProps2.xml><?xml version="1.0" encoding="utf-8"?>
<ds:datastoreItem xmlns:ds="http://schemas.openxmlformats.org/officeDocument/2006/customXml" ds:itemID="{EB51393E-5E1C-46AF-B90F-EF799EC8791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07BDB6-AF66-48A7-A717-C9D031109AEE}">
  <ds:schemaRefs>
    <ds:schemaRef ds:uri="http://schemas.openxmlformats.org/officeDocument/2006/bibliography"/>
  </ds:schemaRefs>
</ds:datastoreItem>
</file>

<file path=customXml/itemProps4.xml><?xml version="1.0" encoding="utf-8"?>
<ds:datastoreItem xmlns:ds="http://schemas.openxmlformats.org/officeDocument/2006/customXml" ds:itemID="{A4BD4A8C-1D33-4BDE-A61E-5D8C8EFD5CEC}"/>
</file>

<file path=docProps/app.xml><?xml version="1.0" encoding="utf-8"?>
<Properties xmlns="http://schemas.openxmlformats.org/officeDocument/2006/extended-properties" xmlns:vt="http://schemas.openxmlformats.org/officeDocument/2006/docPropsVTypes">
  <Template>Normal</Template>
  <TotalTime>60</TotalTime>
  <Pages>2</Pages>
  <Words>293</Words>
  <Characters>1672</Characters>
  <Application>Microsoft Office Word</Application>
  <DocSecurity>0</DocSecurity>
  <Lines>13</Lines>
  <Paragraphs>3</Paragraphs>
  <ScaleCrop>false</ScaleCrop>
  <Company/>
  <LinksUpToDate>false</LinksUpToDate>
  <CharactersWithSpaces>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Jones</dc:creator>
  <cp:keywords/>
  <dc:description/>
  <cp:lastModifiedBy>Freddie Valletta</cp:lastModifiedBy>
  <cp:revision>47</cp:revision>
  <dcterms:created xsi:type="dcterms:W3CDTF">2019-11-06T10:28:00Z</dcterms:created>
  <dcterms:modified xsi:type="dcterms:W3CDTF">2022-05-13T15:38:00Z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0x010100B6DC498062F0D24B9728CC3DEABA7DB0</vt:lpwstr>
  </property>
</Properties>
</file>