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1493"/>
        <w:gridCol w:w="1984"/>
        <w:gridCol w:w="851"/>
        <w:gridCol w:w="2665"/>
      </w:tblGrid>
      <w:tr w:rsidR="00017C28" w:rsidRPr="0068185E" w14:paraId="286F7613" w14:textId="7C25DBED" w:rsidTr="00017C28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36E8D376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</w:t>
            </w:r>
            <w:r w:rsidR="00454880">
              <w:rPr>
                <w:rFonts w:cstheme="minorHAnsi"/>
                <w:b/>
                <w:sz w:val="32"/>
                <w:szCs w:val="36"/>
              </w:rPr>
              <w:t>0</w:t>
            </w:r>
            <w:r w:rsidR="00860962">
              <w:rPr>
                <w:rFonts w:cstheme="minorHAnsi"/>
                <w:b/>
                <w:sz w:val="32"/>
                <w:szCs w:val="36"/>
              </w:rPr>
              <w:t>29</w:t>
            </w:r>
          </w:p>
        </w:tc>
      </w:tr>
      <w:tr w:rsidR="00017C28" w:rsidRPr="0068185E" w14:paraId="3F21FD0F" w14:textId="7F1D3522" w:rsidTr="00017C28">
        <w:tc>
          <w:tcPr>
            <w:tcW w:w="5807" w:type="dxa"/>
            <w:gridSpan w:val="3"/>
          </w:tcPr>
          <w:p w14:paraId="06ECA27B" w14:textId="4C3E8132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1E30D6">
              <w:rPr>
                <w:rFonts w:cstheme="minorHAnsi"/>
                <w:sz w:val="22"/>
                <w:szCs w:val="22"/>
              </w:rPr>
              <w:t>Keep Warm – Scaling Assessment</w:t>
            </w:r>
          </w:p>
        </w:tc>
        <w:tc>
          <w:tcPr>
            <w:tcW w:w="3516" w:type="dxa"/>
            <w:gridSpan w:val="2"/>
          </w:tcPr>
          <w:p w14:paraId="1E8C66F8" w14:textId="114D666F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1008D4">
              <w:rPr>
                <w:rFonts w:cstheme="minorHAnsi"/>
                <w:sz w:val="22"/>
                <w:szCs w:val="22"/>
              </w:rPr>
              <w:t>4</w:t>
            </w:r>
          </w:p>
        </w:tc>
      </w:tr>
      <w:tr w:rsidR="003C1C3F" w:rsidRPr="0068185E" w14:paraId="718C8716" w14:textId="77777777" w:rsidTr="00017C28">
        <w:tc>
          <w:tcPr>
            <w:tcW w:w="5807" w:type="dxa"/>
            <w:gridSpan w:val="3"/>
          </w:tcPr>
          <w:p w14:paraId="636F8EFF" w14:textId="0C9F753E" w:rsidR="003C1C3F" w:rsidRPr="0068185E" w:rsidRDefault="003C1C3F" w:rsidP="001008D4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1008D4" w:rsidRPr="001008D4">
              <w:rPr>
                <w:rFonts w:cstheme="minorHAnsi"/>
                <w:bCs/>
                <w:sz w:val="22"/>
                <w:szCs w:val="22"/>
              </w:rPr>
              <w:t>During keep-warm test t12 shall not exceed 50oC if the keep-warm</w:t>
            </w:r>
            <w:r w:rsidR="001008D4">
              <w:rPr>
                <w:rFonts w:cstheme="minorHAnsi"/>
                <w:bCs/>
                <w:sz w:val="22"/>
                <w:szCs w:val="22"/>
              </w:rPr>
              <w:t xml:space="preserve"> </w:t>
            </w:r>
            <w:r w:rsidR="001008D4" w:rsidRPr="001008D4">
              <w:rPr>
                <w:rFonts w:cstheme="minorHAnsi"/>
                <w:bCs/>
                <w:sz w:val="22"/>
                <w:szCs w:val="22"/>
              </w:rPr>
              <w:t>flow passes through the DHW heat exchanger.</w:t>
            </w:r>
          </w:p>
        </w:tc>
        <w:tc>
          <w:tcPr>
            <w:tcW w:w="3516" w:type="dxa"/>
            <w:gridSpan w:val="2"/>
          </w:tcPr>
          <w:p w14:paraId="24156BE1" w14:textId="77777777" w:rsidR="003C1C3F" w:rsidRDefault="003C1C3F" w:rsidP="00F43A5F">
            <w:pPr>
              <w:spacing w:before="120" w:after="120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49CDA700" w14:textId="5C920463" w:rsidR="001008D4" w:rsidRPr="001008D4" w:rsidRDefault="001008D4" w:rsidP="00F43A5F">
            <w:pPr>
              <w:spacing w:before="120" w:after="12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68</w:t>
            </w:r>
          </w:p>
        </w:tc>
      </w:tr>
      <w:tr w:rsidR="00017C28" w:rsidRPr="0068185E" w14:paraId="654BFA1A" w14:textId="37D4D373" w:rsidTr="00BB4DF8">
        <w:tc>
          <w:tcPr>
            <w:tcW w:w="2330" w:type="dxa"/>
          </w:tcPr>
          <w:p w14:paraId="57E74381" w14:textId="7E8E14DE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  <w:r w:rsidR="00454880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860962">
              <w:rPr>
                <w:rFonts w:cstheme="minorHAnsi"/>
                <w:b/>
                <w:sz w:val="22"/>
                <w:szCs w:val="22"/>
              </w:rPr>
              <w:t>03</w:t>
            </w:r>
          </w:p>
          <w:p w14:paraId="1412685A" w14:textId="1C7DBFF3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93" w:type="dxa"/>
          </w:tcPr>
          <w:p w14:paraId="2EB87D4E" w14:textId="77AED0DD" w:rsidR="00017C28" w:rsidRPr="00102BEB" w:rsidRDefault="00017C28" w:rsidP="00F43A5F">
            <w:pPr>
              <w:spacing w:before="120" w:after="120" w:line="276" w:lineRule="auto"/>
              <w:rPr>
                <w:rFonts w:cstheme="minorHAnsi"/>
                <w:bCs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213A08F5" w14:textId="13F9E835" w:rsidR="00F43A5F" w:rsidRPr="0068185E" w:rsidRDefault="00454880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22</w:t>
            </w:r>
            <w:r w:rsidR="001008D4">
              <w:rPr>
                <w:rFonts w:cstheme="minorHAnsi"/>
                <w:sz w:val="22"/>
                <w:szCs w:val="22"/>
              </w:rPr>
              <w:t>/11/2021</w:t>
            </w:r>
          </w:p>
        </w:tc>
        <w:tc>
          <w:tcPr>
            <w:tcW w:w="2835" w:type="dxa"/>
            <w:gridSpan w:val="2"/>
          </w:tcPr>
          <w:p w14:paraId="6B6FA489" w14:textId="088FB8FB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4A7664B0" w14:textId="666237FE" w:rsidR="00F43A5F" w:rsidRPr="0068185E" w:rsidRDefault="001008D4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Dmitriy Mostovoy</w:t>
            </w:r>
          </w:p>
        </w:tc>
        <w:tc>
          <w:tcPr>
            <w:tcW w:w="2665" w:type="dxa"/>
          </w:tcPr>
          <w:p w14:paraId="5B3DF2DC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</w:p>
          <w:p w14:paraId="7AC0C514" w14:textId="19DB4E5A" w:rsidR="00F43A5F" w:rsidRPr="0068185E" w:rsidRDefault="00694E98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Steffan Cook (6</w:t>
            </w:r>
            <w:r w:rsidRPr="00BB4DF8">
              <w:rPr>
                <w:rFonts w:cstheme="minorHAnsi"/>
                <w:vertAlign w:val="superscript"/>
              </w:rPr>
              <w:t>th</w:t>
            </w:r>
            <w:r>
              <w:rPr>
                <w:rFonts w:cstheme="minorHAnsi"/>
                <w:sz w:val="22"/>
                <w:szCs w:val="22"/>
              </w:rPr>
              <w:t xml:space="preserve"> -1-2022)</w:t>
            </w:r>
          </w:p>
        </w:tc>
      </w:tr>
    </w:tbl>
    <w:p w14:paraId="037C94D1" w14:textId="7D801694" w:rsidR="00A75691" w:rsidRPr="0068185E" w:rsidRDefault="00F43A5F" w:rsidP="00A75691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Toc514342241"/>
      <w:r w:rsidRPr="0068185E">
        <w:rPr>
          <w:rFonts w:asciiTheme="minorHAnsi" w:hAnsiTheme="minorHAnsi" w:cstheme="minorHAnsi"/>
          <w:b/>
          <w:bCs/>
          <w:sz w:val="22"/>
          <w:szCs w:val="22"/>
        </w:rPr>
        <w:t>Introduction</w:t>
      </w:r>
      <w:bookmarkEnd w:id="0"/>
    </w:p>
    <w:p w14:paraId="6562C635" w14:textId="2C3DBC7A" w:rsidR="005D3510" w:rsidRDefault="00FB29F1" w:rsidP="005D3510">
      <w:pPr>
        <w:spacing w:before="240" w:after="120"/>
        <w:jc w:val="both"/>
        <w:rPr>
          <w:lang w:val="en-GB"/>
        </w:rPr>
      </w:pPr>
      <w:r w:rsidRPr="74A106B7">
        <w:rPr>
          <w:lang w:val="en-GB"/>
        </w:rPr>
        <w:t>D</w:t>
      </w:r>
      <w:r w:rsidR="001008D4" w:rsidRPr="74A106B7">
        <w:rPr>
          <w:lang w:val="en-GB"/>
        </w:rPr>
        <w:t>uring the keep-warm test</w:t>
      </w:r>
      <w:r w:rsidRPr="74A106B7">
        <w:rPr>
          <w:lang w:val="en-GB"/>
        </w:rPr>
        <w:t>,</w:t>
      </w:r>
      <w:r w:rsidR="001008D4" w:rsidRPr="74A106B7">
        <w:rPr>
          <w:lang w:val="en-GB"/>
        </w:rPr>
        <w:t xml:space="preserve"> </w:t>
      </w:r>
      <w:r w:rsidRPr="74A106B7">
        <w:rPr>
          <w:lang w:val="en-GB"/>
        </w:rPr>
        <w:t>heat flows down the primary and into the DHW heat exchanger</w:t>
      </w:r>
      <w:r w:rsidR="000D21D6" w:rsidRPr="74A106B7">
        <w:rPr>
          <w:lang w:val="en-GB"/>
        </w:rPr>
        <w:t xml:space="preserve"> (depending on design) preheating the DHW heat exchanger</w:t>
      </w:r>
      <w:r w:rsidRPr="74A106B7">
        <w:rPr>
          <w:lang w:val="en-GB"/>
        </w:rPr>
        <w:t xml:space="preserve">. </w:t>
      </w:r>
      <w:r w:rsidR="000D21D6" w:rsidRPr="74A106B7">
        <w:rPr>
          <w:lang w:val="en-GB"/>
        </w:rPr>
        <w:t>D</w:t>
      </w:r>
      <w:r w:rsidRPr="74A106B7">
        <w:rPr>
          <w:lang w:val="en-GB"/>
        </w:rPr>
        <w:t>oes the</w:t>
      </w:r>
      <w:r w:rsidR="001008D4" w:rsidRPr="74A106B7">
        <w:rPr>
          <w:lang w:val="en-GB"/>
        </w:rPr>
        <w:t xml:space="preserve"> HIU exceed temperatures wh</w:t>
      </w:r>
      <w:r w:rsidRPr="74A106B7">
        <w:rPr>
          <w:lang w:val="en-GB"/>
        </w:rPr>
        <w:t>ere</w:t>
      </w:r>
      <w:r w:rsidR="001008D4" w:rsidRPr="74A106B7">
        <w:rPr>
          <w:lang w:val="en-GB"/>
        </w:rPr>
        <w:t xml:space="preserve"> scale formation </w:t>
      </w:r>
      <w:r w:rsidR="778442AA" w:rsidRPr="74A106B7">
        <w:rPr>
          <w:lang w:val="en-GB"/>
        </w:rPr>
        <w:t xml:space="preserve">on the DHW side of this </w:t>
      </w:r>
      <w:r w:rsidR="001008D4" w:rsidRPr="74A106B7">
        <w:rPr>
          <w:lang w:val="en-GB"/>
        </w:rPr>
        <w:t>heat exchanger</w:t>
      </w:r>
      <w:r w:rsidRPr="74A106B7">
        <w:rPr>
          <w:lang w:val="en-GB"/>
        </w:rPr>
        <w:t xml:space="preserve"> could occur?</w:t>
      </w:r>
      <w:r w:rsidR="00E5487D" w:rsidRPr="74A106B7">
        <w:rPr>
          <w:lang w:val="en-GB"/>
        </w:rPr>
        <w:t xml:space="preserve"> </w:t>
      </w:r>
      <w:r w:rsidRPr="74A106B7">
        <w:rPr>
          <w:lang w:val="en-GB"/>
        </w:rPr>
        <w:t>Scale build-up will prevent</w:t>
      </w:r>
      <w:r w:rsidR="00E5487D" w:rsidRPr="74A106B7">
        <w:rPr>
          <w:lang w:val="en-GB"/>
        </w:rPr>
        <w:t xml:space="preserve"> </w:t>
      </w:r>
      <w:r w:rsidRPr="74A106B7">
        <w:rPr>
          <w:lang w:val="en-GB"/>
        </w:rPr>
        <w:t xml:space="preserve">efficient </w:t>
      </w:r>
      <w:r w:rsidR="00E5487D" w:rsidRPr="74A106B7">
        <w:rPr>
          <w:lang w:val="en-GB"/>
        </w:rPr>
        <w:t xml:space="preserve">heat transfer and ultimately affect primary return temperatures and </w:t>
      </w:r>
      <w:r w:rsidRPr="74A106B7">
        <w:rPr>
          <w:lang w:val="en-GB"/>
        </w:rPr>
        <w:t xml:space="preserve">therefore </w:t>
      </w:r>
      <w:r w:rsidR="00E5487D" w:rsidRPr="74A106B7">
        <w:rPr>
          <w:lang w:val="en-GB"/>
        </w:rPr>
        <w:t>network performance</w:t>
      </w:r>
      <w:r w:rsidR="00CD32BA" w:rsidRPr="74A106B7">
        <w:rPr>
          <w:lang w:val="en-GB"/>
        </w:rPr>
        <w:t xml:space="preserve">. Most of its life HIU will be operating in a keep-warm mode therefore it is paramount that HIUs </w:t>
      </w:r>
      <w:r w:rsidR="000D21D6" w:rsidRPr="74A106B7">
        <w:rPr>
          <w:lang w:val="en-GB"/>
        </w:rPr>
        <w:t xml:space="preserve">reduce </w:t>
      </w:r>
      <w:r w:rsidR="00CD32BA" w:rsidRPr="74A106B7">
        <w:rPr>
          <w:lang w:val="en-GB"/>
        </w:rPr>
        <w:t>scaling during this function</w:t>
      </w:r>
      <w:r w:rsidR="000D21D6" w:rsidRPr="74A106B7">
        <w:rPr>
          <w:lang w:val="en-GB"/>
        </w:rPr>
        <w:t xml:space="preserve"> as much as possible</w:t>
      </w:r>
      <w:r w:rsidR="00CD32BA" w:rsidRPr="74A106B7">
        <w:rPr>
          <w:lang w:val="en-GB"/>
        </w:rPr>
        <w:t>.</w:t>
      </w:r>
    </w:p>
    <w:p w14:paraId="08297791" w14:textId="57886222" w:rsidR="005D3510" w:rsidRDefault="005D3510" w:rsidP="005D3510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T12 sensor measures the </w:t>
      </w:r>
      <w:r w:rsidR="000D21D6">
        <w:rPr>
          <w:lang w:val="en-GB"/>
        </w:rPr>
        <w:t xml:space="preserve">primary </w:t>
      </w:r>
      <w:r>
        <w:rPr>
          <w:lang w:val="en-GB"/>
        </w:rPr>
        <w:t xml:space="preserve">return temperature from the HIU and once the sensor reaches a certain value during the keep-warm test, it is assumed that the secondary DHW water in the plate heat exchanger has </w:t>
      </w:r>
      <w:r w:rsidR="000D21D6">
        <w:rPr>
          <w:lang w:val="en-GB"/>
        </w:rPr>
        <w:t xml:space="preserve">also </w:t>
      </w:r>
      <w:r>
        <w:rPr>
          <w:lang w:val="en-GB"/>
        </w:rPr>
        <w:t>reached this value.</w:t>
      </w:r>
    </w:p>
    <w:p w14:paraId="3C7E7CC3" w14:textId="77777777" w:rsidR="00461388" w:rsidRDefault="00461388" w:rsidP="00461388">
      <w:pPr>
        <w:spacing w:before="240" w:after="120"/>
        <w:jc w:val="both"/>
        <w:rPr>
          <w:lang w:val="en-GB"/>
        </w:rPr>
      </w:pPr>
      <w:r>
        <w:rPr>
          <w:lang w:val="en-GB"/>
        </w:rPr>
        <w:t>Exceeding an agreed temperature and exposing heat exchangers to scaling risk should be taken very seriously even though there may be resistance and counterarguments from HIU manufacturers.</w:t>
      </w:r>
    </w:p>
    <w:p w14:paraId="5B8516CF" w14:textId="77777777" w:rsidR="00461388" w:rsidRDefault="00461388" w:rsidP="00461388">
      <w:pPr>
        <w:spacing w:before="240" w:after="120"/>
        <w:jc w:val="both"/>
        <w:rPr>
          <w:lang w:val="en-GB"/>
        </w:rPr>
      </w:pPr>
      <w:r>
        <w:rPr>
          <w:lang w:val="en-GB"/>
        </w:rPr>
        <w:t>The purpose of the BESA HIU test regime is to reward R&amp;D, improve heat networks and end-user comfort.</w:t>
      </w:r>
    </w:p>
    <w:p w14:paraId="20162CED" w14:textId="77777777" w:rsidR="00461388" w:rsidRDefault="00461388" w:rsidP="005D3510">
      <w:pPr>
        <w:spacing w:before="240" w:after="120"/>
        <w:jc w:val="both"/>
        <w:rPr>
          <w:lang w:val="en-GB"/>
        </w:rPr>
      </w:pPr>
    </w:p>
    <w:p w14:paraId="3A5C21DC" w14:textId="3A10A881" w:rsidR="00A75691" w:rsidRPr="0068185E" w:rsidRDefault="00F43A5F" w:rsidP="000B4405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 xml:space="preserve">Considerations </w:t>
      </w:r>
      <w:bookmarkStart w:id="1" w:name="_Toc514342246"/>
      <w:r w:rsidR="000D21D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bookmarkEnd w:id="1"/>
    <w:p w14:paraId="15F2A111" w14:textId="77777777" w:rsidR="00C75B4D" w:rsidRPr="00BB4DF8" w:rsidRDefault="003F027B" w:rsidP="00C75B4D">
      <w:pPr>
        <w:spacing w:before="240" w:after="120"/>
        <w:jc w:val="both"/>
        <w:rPr>
          <w:u w:val="single"/>
          <w:lang w:val="en-GB"/>
        </w:rPr>
      </w:pPr>
      <w:r w:rsidRPr="00BB4DF8">
        <w:rPr>
          <w:rFonts w:cstheme="minorHAnsi"/>
          <w:b/>
          <w:bCs/>
          <w:u w:val="single"/>
        </w:rPr>
        <w:t>Consideration 1</w:t>
      </w:r>
      <w:r w:rsidR="00C75B4D" w:rsidRPr="00BB4DF8">
        <w:rPr>
          <w:u w:val="single"/>
          <w:lang w:val="en-GB"/>
        </w:rPr>
        <w:t xml:space="preserve"> </w:t>
      </w:r>
    </w:p>
    <w:p w14:paraId="6511F534" w14:textId="6F9F25F8" w:rsidR="005D3510" w:rsidRDefault="005D3510" w:rsidP="00C75B4D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It is assumed that the </w:t>
      </w:r>
      <w:r w:rsidR="000D21D6">
        <w:rPr>
          <w:lang w:val="en-GB"/>
        </w:rPr>
        <w:t xml:space="preserve">DHW </w:t>
      </w:r>
      <w:r>
        <w:rPr>
          <w:lang w:val="en-GB"/>
        </w:rPr>
        <w:t xml:space="preserve">cold water </w:t>
      </w:r>
      <w:r w:rsidR="000D21D6">
        <w:rPr>
          <w:lang w:val="en-GB"/>
        </w:rPr>
        <w:t xml:space="preserve">input </w:t>
      </w:r>
      <w:r>
        <w:rPr>
          <w:lang w:val="en-GB"/>
        </w:rPr>
        <w:t>is not treated for scale prevention</w:t>
      </w:r>
      <w:r w:rsidR="000D21D6">
        <w:rPr>
          <w:lang w:val="en-GB"/>
        </w:rPr>
        <w:t xml:space="preserve">. </w:t>
      </w:r>
      <w:r w:rsidRPr="005D3510">
        <w:rPr>
          <w:lang w:val="en-GB"/>
        </w:rPr>
        <w:t>Around 60% of the UK is classed as having hard or very hard water, with many areas exhibiting over 200mg of calcium carbonate per litre.</w:t>
      </w:r>
      <w:r w:rsidR="000D21D6">
        <w:rPr>
          <w:lang w:val="en-GB"/>
        </w:rPr>
        <w:t xml:space="preserve"> Therefore scaling is a real risk.</w:t>
      </w:r>
    </w:p>
    <w:p w14:paraId="283D01B2" w14:textId="73F7D664" w:rsidR="00C75B4D" w:rsidRDefault="00C75B4D" w:rsidP="00C75B4D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Scale formation </w:t>
      </w:r>
      <w:r w:rsidR="000D21D6">
        <w:rPr>
          <w:lang w:val="en-GB"/>
        </w:rPr>
        <w:t xml:space="preserve">rate </w:t>
      </w:r>
      <w:r>
        <w:rPr>
          <w:lang w:val="en-GB"/>
        </w:rPr>
        <w:t xml:space="preserve">is a function of water temperature and is a non-linear process. The rate of limescale formation increases faster with </w:t>
      </w:r>
      <w:r w:rsidR="000D21D6">
        <w:rPr>
          <w:lang w:val="en-GB"/>
        </w:rPr>
        <w:t>increasing</w:t>
      </w:r>
      <w:r>
        <w:rPr>
          <w:lang w:val="en-GB"/>
        </w:rPr>
        <w:t xml:space="preserve"> temperature. Various sources </w:t>
      </w:r>
      <w:r w:rsidR="000D21D6">
        <w:rPr>
          <w:lang w:val="en-GB"/>
        </w:rPr>
        <w:t>in practice use</w:t>
      </w:r>
      <w:r>
        <w:rPr>
          <w:lang w:val="en-GB"/>
        </w:rPr>
        <w:t xml:space="preserve"> slightly different </w:t>
      </w:r>
      <w:r>
        <w:rPr>
          <w:lang w:val="en-GB"/>
        </w:rPr>
        <w:lastRenderedPageBreak/>
        <w:t xml:space="preserve">graphs and formation rates, </w:t>
      </w:r>
      <w:r w:rsidR="000D21D6">
        <w:rPr>
          <w:lang w:val="en-GB"/>
        </w:rPr>
        <w:t>depending on</w:t>
      </w:r>
      <w:r>
        <w:rPr>
          <w:lang w:val="en-GB"/>
        </w:rPr>
        <w:t xml:space="preserve"> factor</w:t>
      </w:r>
      <w:r w:rsidR="000D21D6">
        <w:rPr>
          <w:lang w:val="en-GB"/>
        </w:rPr>
        <w:t>s such as</w:t>
      </w:r>
      <w:r>
        <w:rPr>
          <w:lang w:val="en-GB"/>
        </w:rPr>
        <w:t xml:space="preserve"> water hardness levels and composition of the studie</w:t>
      </w:r>
      <w:r w:rsidR="004C16CA">
        <w:rPr>
          <w:lang w:val="en-GB"/>
        </w:rPr>
        <w:t>d</w:t>
      </w:r>
      <w:r>
        <w:rPr>
          <w:lang w:val="en-GB"/>
        </w:rPr>
        <w:t xml:space="preserve"> limescale.</w:t>
      </w:r>
    </w:p>
    <w:p w14:paraId="4776E081" w14:textId="1AED6989" w:rsidR="00C75B4D" w:rsidRDefault="00461388" w:rsidP="00C75B4D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Roughly the </w:t>
      </w:r>
      <w:r w:rsidR="00C75B4D">
        <w:rPr>
          <w:lang w:val="en-GB"/>
        </w:rPr>
        <w:t xml:space="preserve">scaling </w:t>
      </w:r>
      <w:r>
        <w:rPr>
          <w:lang w:val="en-GB"/>
        </w:rPr>
        <w:t xml:space="preserve">rate </w:t>
      </w:r>
      <w:r w:rsidR="00C75B4D">
        <w:rPr>
          <w:lang w:val="en-GB"/>
        </w:rPr>
        <w:t xml:space="preserve">in untreated </w:t>
      </w:r>
      <w:r w:rsidR="00351AE5">
        <w:rPr>
          <w:lang w:val="en-GB"/>
        </w:rPr>
        <w:t>water when it is heated</w:t>
      </w:r>
      <w:r>
        <w:rPr>
          <w:lang w:val="en-GB"/>
        </w:rPr>
        <w:t xml:space="preserve"> </w:t>
      </w:r>
      <w:r w:rsidR="00E05841">
        <w:rPr>
          <w:lang w:val="en-GB"/>
        </w:rPr>
        <w:t xml:space="preserve">leads </w:t>
      </w:r>
      <w:r>
        <w:rPr>
          <w:lang w:val="en-GB"/>
        </w:rPr>
        <w:t>to</w:t>
      </w:r>
      <w:r w:rsidR="00C75B4D">
        <w:rPr>
          <w:lang w:val="en-GB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3"/>
      </w:tblGrid>
      <w:tr w:rsidR="00461388" w:rsidRPr="00B00086" w14:paraId="6528B61A" w14:textId="77777777" w:rsidTr="00461388">
        <w:tc>
          <w:tcPr>
            <w:tcW w:w="9323" w:type="dxa"/>
          </w:tcPr>
          <w:p w14:paraId="70D637D4" w14:textId="77777777" w:rsidR="00461388" w:rsidRPr="00B00086" w:rsidRDefault="00461388" w:rsidP="00B00086">
            <w:pPr>
              <w:spacing w:before="240" w:after="120"/>
              <w:jc w:val="both"/>
              <w:rPr>
                <w:lang w:val="en-GB"/>
              </w:rPr>
            </w:pPr>
            <w:r w:rsidRPr="00B00086">
              <w:rPr>
                <w:lang w:val="en-GB"/>
              </w:rPr>
              <w:t>60C – heavy limescale formation.</w:t>
            </w:r>
          </w:p>
        </w:tc>
      </w:tr>
      <w:tr w:rsidR="00461388" w:rsidRPr="00B00086" w14:paraId="3362F99B" w14:textId="77777777" w:rsidTr="00461388">
        <w:tc>
          <w:tcPr>
            <w:tcW w:w="9323" w:type="dxa"/>
          </w:tcPr>
          <w:p w14:paraId="65DEE779" w14:textId="77777777" w:rsidR="00461388" w:rsidRPr="00B00086" w:rsidRDefault="00461388" w:rsidP="00B00086">
            <w:pPr>
              <w:spacing w:before="240" w:after="120"/>
              <w:jc w:val="both"/>
              <w:rPr>
                <w:lang w:val="en-GB"/>
              </w:rPr>
            </w:pPr>
            <w:r w:rsidRPr="00B00086">
              <w:rPr>
                <w:lang w:val="en-GB"/>
              </w:rPr>
              <w:t>55C – moderate scaling.</w:t>
            </w:r>
          </w:p>
        </w:tc>
      </w:tr>
      <w:tr w:rsidR="00461388" w:rsidRPr="00B00086" w14:paraId="001E319B" w14:textId="77777777" w:rsidTr="00461388">
        <w:tc>
          <w:tcPr>
            <w:tcW w:w="9323" w:type="dxa"/>
          </w:tcPr>
          <w:p w14:paraId="770E7151" w14:textId="77777777" w:rsidR="00461388" w:rsidRPr="00B00086" w:rsidRDefault="00461388" w:rsidP="00B00086">
            <w:pPr>
              <w:spacing w:before="240" w:after="120"/>
              <w:jc w:val="both"/>
              <w:rPr>
                <w:lang w:val="en-GB"/>
              </w:rPr>
            </w:pPr>
            <w:r w:rsidRPr="00B00086">
              <w:rPr>
                <w:lang w:val="en-GB"/>
              </w:rPr>
              <w:t>50C – scaling still occurs, but at significantly lower rate.</w:t>
            </w:r>
          </w:p>
        </w:tc>
      </w:tr>
    </w:tbl>
    <w:p w14:paraId="04747623" w14:textId="06E7CAF2" w:rsidR="00A75691" w:rsidRPr="0068185E" w:rsidRDefault="003F027B" w:rsidP="005D3510">
      <w:pPr>
        <w:pStyle w:val="Heading1"/>
        <w:numPr>
          <w:ilvl w:val="0"/>
          <w:numId w:val="0"/>
        </w:numPr>
        <w:ind w:left="360" w:hanging="360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Consideration 2</w:t>
      </w:r>
    </w:p>
    <w:p w14:paraId="7A1A07D0" w14:textId="798CA256" w:rsidR="00B30238" w:rsidRDefault="00B30238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In the new test regime DHW set temperature is 50C and it is expected that the keep-warm </w:t>
      </w:r>
      <w:r w:rsidR="00461388">
        <w:rPr>
          <w:lang w:val="en-GB"/>
        </w:rPr>
        <w:t>will operate</w:t>
      </w:r>
      <w:r>
        <w:rPr>
          <w:lang w:val="en-GB"/>
        </w:rPr>
        <w:t xml:space="preserve"> below this temperature. </w:t>
      </w:r>
    </w:p>
    <w:p w14:paraId="69DB7923" w14:textId="22E30B21" w:rsidR="003F027B" w:rsidRPr="0068185E" w:rsidRDefault="00701A1C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Conclusions</w:t>
      </w:r>
    </w:p>
    <w:p w14:paraId="2F18E684" w14:textId="3E39E57E" w:rsidR="00DA0ED1" w:rsidRDefault="00D2493A" w:rsidP="00ED7DFB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Scaling of the DHW heat exchanger is a real concern for performance, especially long-term performance. While the lower keepwarm set temperature below 50C is expected to help and to reduce the rate of scale formation it does not stop it entirely. </w:t>
      </w:r>
    </w:p>
    <w:p w14:paraId="09B579B3" w14:textId="6FE930DF" w:rsidR="003F027B" w:rsidRPr="0068185E" w:rsidRDefault="0068185E" w:rsidP="0068185E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Recommendation</w:t>
      </w:r>
    </w:p>
    <w:p w14:paraId="03CE1F72" w14:textId="77777777" w:rsidR="006B31F4" w:rsidRDefault="006B31F4" w:rsidP="00EE4E2D">
      <w:pPr>
        <w:spacing w:before="240" w:after="120"/>
        <w:jc w:val="both"/>
        <w:rPr>
          <w:lang w:val="en-GB"/>
        </w:rPr>
      </w:pPr>
      <w:r>
        <w:rPr>
          <w:lang w:val="en-GB"/>
        </w:rPr>
        <w:t>In line with the philosophy of gradually raising the bar for minimum standards, it is therefore proposed:</w:t>
      </w:r>
    </w:p>
    <w:p w14:paraId="29942E9E" w14:textId="1C8A6194" w:rsidR="00EE4E2D" w:rsidRDefault="00EE4E2D" w:rsidP="00EE4E2D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If T12 exceeds 55C during </w:t>
      </w:r>
      <w:r w:rsidR="00D2493A">
        <w:rPr>
          <w:lang w:val="en-GB"/>
        </w:rPr>
        <w:t xml:space="preserve">any point in </w:t>
      </w:r>
      <w:r>
        <w:rPr>
          <w:lang w:val="en-GB"/>
        </w:rPr>
        <w:t xml:space="preserve">the keep-warm test, </w:t>
      </w:r>
      <w:r w:rsidR="00D2493A">
        <w:rPr>
          <w:lang w:val="en-GB"/>
        </w:rPr>
        <w:t xml:space="preserve">then </w:t>
      </w:r>
      <w:r>
        <w:rPr>
          <w:lang w:val="en-GB"/>
        </w:rPr>
        <w:t>the HIU fails the overall test and cannot be “BESA Registered”.</w:t>
      </w:r>
    </w:p>
    <w:p w14:paraId="34CD3C6A" w14:textId="0763E4F5" w:rsidR="00EE4E2D" w:rsidRDefault="00EE4E2D" w:rsidP="00EE4E2D">
      <w:pPr>
        <w:spacing w:before="240" w:after="120"/>
        <w:jc w:val="both"/>
        <w:rPr>
          <w:lang w:val="en-GB"/>
        </w:rPr>
      </w:pPr>
      <w:r>
        <w:rPr>
          <w:lang w:val="en-GB"/>
        </w:rPr>
        <w:t>If T12 exceeds 50C during the keep-warm test, the HIU receives a note identifying the scaling risk potential.</w:t>
      </w:r>
      <w:r w:rsidR="006B31F4">
        <w:rPr>
          <w:lang w:val="en-GB"/>
        </w:rPr>
        <w:t xml:space="preserve"> The note will identify what </w:t>
      </w:r>
      <w:r w:rsidR="00E05841">
        <w:rPr>
          <w:lang w:val="en-GB"/>
        </w:rPr>
        <w:t xml:space="preserve">percentage </w:t>
      </w:r>
      <w:r w:rsidR="006B31F4">
        <w:rPr>
          <w:lang w:val="en-GB"/>
        </w:rPr>
        <w:t xml:space="preserve">% (of time) </w:t>
      </w:r>
      <w:r w:rsidR="00E05841">
        <w:rPr>
          <w:lang w:val="en-GB"/>
        </w:rPr>
        <w:t>during</w:t>
      </w:r>
      <w:r w:rsidR="006B31F4">
        <w:rPr>
          <w:lang w:val="en-GB"/>
        </w:rPr>
        <w:t xml:space="preserve"> keepwarm</w:t>
      </w:r>
      <w:r w:rsidR="00E05841">
        <w:rPr>
          <w:lang w:val="en-GB"/>
        </w:rPr>
        <w:t xml:space="preserve"> cycling </w:t>
      </w:r>
      <w:r w:rsidR="006B31F4">
        <w:rPr>
          <w:lang w:val="en-GB"/>
        </w:rPr>
        <w:t xml:space="preserve">the HIU spends above 50C, and warns that the greater that percentage the greater will be the scaling risk. </w:t>
      </w:r>
    </w:p>
    <w:p w14:paraId="29DC9A11" w14:textId="7AF65552" w:rsidR="00B30238" w:rsidRDefault="00B30238" w:rsidP="00B30238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Exclusions</w:t>
      </w:r>
    </w:p>
    <w:p w14:paraId="708F21A9" w14:textId="40037C30" w:rsidR="00471551" w:rsidRPr="0068185E" w:rsidRDefault="00B30238" w:rsidP="00BB4DF8">
      <w:pPr>
        <w:rPr>
          <w:rFonts w:cstheme="minorHAnsi"/>
          <w:b/>
          <w:lang w:val="en-GB"/>
        </w:rPr>
      </w:pPr>
      <w:r>
        <w:rPr>
          <w:lang w:val="en-GB"/>
        </w:rPr>
        <w:t xml:space="preserve">It should be noted in the test regime and on </w:t>
      </w:r>
      <w:r w:rsidR="006B31F4">
        <w:rPr>
          <w:lang w:val="en-GB"/>
        </w:rPr>
        <w:t>any t</w:t>
      </w:r>
      <w:r>
        <w:rPr>
          <w:lang w:val="en-GB"/>
        </w:rPr>
        <w:t>est report</w:t>
      </w:r>
      <w:r w:rsidR="006B31F4">
        <w:rPr>
          <w:lang w:val="en-GB"/>
        </w:rPr>
        <w:t>s</w:t>
      </w:r>
      <w:r>
        <w:rPr>
          <w:lang w:val="en-GB"/>
        </w:rPr>
        <w:t xml:space="preserve"> that</w:t>
      </w:r>
      <w:r w:rsidR="00EE4E2D">
        <w:rPr>
          <w:lang w:val="en-GB"/>
        </w:rPr>
        <w:t xml:space="preserve"> those</w:t>
      </w:r>
      <w:r>
        <w:rPr>
          <w:lang w:val="en-GB"/>
        </w:rPr>
        <w:t xml:space="preserve"> HIUs which during</w:t>
      </w:r>
      <w:r w:rsidR="00EE4E2D">
        <w:rPr>
          <w:lang w:val="en-GB"/>
        </w:rPr>
        <w:t xml:space="preserve"> the</w:t>
      </w:r>
      <w:r>
        <w:rPr>
          <w:lang w:val="en-GB"/>
        </w:rPr>
        <w:t xml:space="preserve"> keep-warm function only pre-heat the pipework inside the HIU </w:t>
      </w:r>
      <w:r w:rsidR="006B31F4">
        <w:rPr>
          <w:lang w:val="en-GB"/>
        </w:rPr>
        <w:t xml:space="preserve">without </w:t>
      </w:r>
      <w:r w:rsidR="002F2A24">
        <w:rPr>
          <w:lang w:val="en-GB"/>
        </w:rPr>
        <w:t xml:space="preserve">directly </w:t>
      </w:r>
      <w:r w:rsidR="006B31F4">
        <w:rPr>
          <w:lang w:val="en-GB"/>
        </w:rPr>
        <w:t>heating</w:t>
      </w:r>
      <w:r>
        <w:rPr>
          <w:lang w:val="en-GB"/>
        </w:rPr>
        <w:t xml:space="preserve"> the DHW plate heat exchanger are allowed to exceed the criteria </w:t>
      </w:r>
      <w:r w:rsidR="006B31F4">
        <w:rPr>
          <w:lang w:val="en-GB"/>
        </w:rPr>
        <w:t>without being penalised by having a</w:t>
      </w:r>
      <w:r>
        <w:rPr>
          <w:lang w:val="en-GB"/>
        </w:rPr>
        <w:t xml:space="preserve"> “</w:t>
      </w:r>
      <w:r w:rsidR="00E05841">
        <w:rPr>
          <w:lang w:val="en-GB"/>
        </w:rPr>
        <w:t>F</w:t>
      </w:r>
      <w:r>
        <w:rPr>
          <w:lang w:val="en-GB"/>
        </w:rPr>
        <w:t>ail” or “</w:t>
      </w:r>
      <w:r w:rsidR="00E05841">
        <w:rPr>
          <w:lang w:val="en-GB"/>
        </w:rPr>
        <w:t>N</w:t>
      </w:r>
      <w:r>
        <w:rPr>
          <w:lang w:val="en-GB"/>
        </w:rPr>
        <w:t>ote”</w:t>
      </w:r>
      <w:r w:rsidR="00EE4E2D">
        <w:rPr>
          <w:lang w:val="en-GB"/>
        </w:rPr>
        <w:t xml:space="preserve">. This is because the primary flow through the HIU does not heat the cold water </w:t>
      </w:r>
      <w:r w:rsidR="002F2A24">
        <w:rPr>
          <w:lang w:val="en-GB"/>
        </w:rPr>
        <w:t xml:space="preserve">in the </w:t>
      </w:r>
      <w:r w:rsidR="00EE4E2D">
        <w:rPr>
          <w:lang w:val="en-GB"/>
        </w:rPr>
        <w:t xml:space="preserve">DHW plate heat exchanger and therefore does not contribute to scaling formation. </w:t>
      </w:r>
      <w:r w:rsidR="002F2A24">
        <w:rPr>
          <w:lang w:val="en-GB"/>
        </w:rPr>
        <w:t>Nonetheless, t</w:t>
      </w:r>
      <w:r w:rsidR="00EE4E2D">
        <w:rPr>
          <w:lang w:val="en-GB"/>
        </w:rPr>
        <w:t>he</w:t>
      </w:r>
      <w:r w:rsidR="002F2A24">
        <w:rPr>
          <w:lang w:val="en-GB"/>
        </w:rPr>
        <w:t xml:space="preserve"> temperature monitoring as well as the keepwarm</w:t>
      </w:r>
      <w:r w:rsidR="00EE4E2D">
        <w:rPr>
          <w:lang w:val="en-GB"/>
        </w:rPr>
        <w:t xml:space="preserve"> test itself </w:t>
      </w:r>
      <w:r w:rsidR="002F2A24">
        <w:rPr>
          <w:lang w:val="en-GB"/>
        </w:rPr>
        <w:t xml:space="preserve">is still required. </w:t>
      </w:r>
    </w:p>
    <w:sectPr w:rsidR="00471551" w:rsidRPr="0068185E" w:rsidSect="002945CC">
      <w:headerReference w:type="default" r:id="rId11"/>
      <w:headerReference w:type="first" r:id="rId12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6A792" w14:textId="77777777" w:rsidR="00617875" w:rsidRDefault="00617875">
      <w:pPr>
        <w:spacing w:after="0" w:line="240" w:lineRule="auto"/>
      </w:pPr>
      <w:r>
        <w:separator/>
      </w:r>
    </w:p>
  </w:endnote>
  <w:endnote w:type="continuationSeparator" w:id="0">
    <w:p w14:paraId="75E8A218" w14:textId="77777777" w:rsidR="00617875" w:rsidRDefault="00617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FDEF" w14:textId="77777777" w:rsidR="00617875" w:rsidRDefault="00617875">
      <w:pPr>
        <w:spacing w:after="0" w:line="240" w:lineRule="auto"/>
      </w:pPr>
      <w:r>
        <w:separator/>
      </w:r>
    </w:p>
  </w:footnote>
  <w:footnote w:type="continuationSeparator" w:id="0">
    <w:p w14:paraId="2BA13F8D" w14:textId="77777777" w:rsidR="00617875" w:rsidRDefault="00617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6.5pt;height:151.5pt;visibility:visible;mso-wrap-style:square" o:bullet="t">
        <v:imagedata r:id="rId1" o:title=""/>
      </v:shape>
    </w:pict>
  </w:numPicBullet>
  <w:numPicBullet w:numPicBulletId="1">
    <w:pict>
      <v:shape w14:anchorId="6522F935" id="_x0000_i1027" type="#_x0000_t75" style="width:158.25pt;height:200.25pt;visibility:visible;mso-wrap-style:square" o:bullet="t">
        <v:imagedata r:id="rId2" o:title=""/>
      </v:shape>
    </w:pict>
  </w:numPicBullet>
  <w:abstractNum w:abstractNumId="0" w15:restartNumberingAfterBreak="0">
    <w:nsid w:val="014847FB"/>
    <w:multiLevelType w:val="hybridMultilevel"/>
    <w:tmpl w:val="EA009C0C"/>
    <w:lvl w:ilvl="0" w:tplc="FCBEB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6E6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8026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40D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264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F27F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C02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E0A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8011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0C045E"/>
    <w:multiLevelType w:val="hybridMultilevel"/>
    <w:tmpl w:val="7E785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5A17"/>
    <w:multiLevelType w:val="hybridMultilevel"/>
    <w:tmpl w:val="CD20BE30"/>
    <w:lvl w:ilvl="0" w:tplc="226611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656FA"/>
    <w:multiLevelType w:val="hybridMultilevel"/>
    <w:tmpl w:val="E9FABF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17249B"/>
    <w:multiLevelType w:val="hybridMultilevel"/>
    <w:tmpl w:val="17543C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84B3E"/>
    <w:multiLevelType w:val="hybridMultilevel"/>
    <w:tmpl w:val="AFFCF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F5F33"/>
    <w:multiLevelType w:val="hybridMultilevel"/>
    <w:tmpl w:val="FE0464D4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1B012882"/>
    <w:multiLevelType w:val="hybridMultilevel"/>
    <w:tmpl w:val="BFDCF3BA"/>
    <w:lvl w:ilvl="0" w:tplc="B3F2BF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C0F86"/>
    <w:multiLevelType w:val="hybridMultilevel"/>
    <w:tmpl w:val="30AC7FA6"/>
    <w:lvl w:ilvl="0" w:tplc="4620C6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352A9"/>
    <w:multiLevelType w:val="hybridMultilevel"/>
    <w:tmpl w:val="B7A4C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44363"/>
    <w:multiLevelType w:val="hybridMultilevel"/>
    <w:tmpl w:val="51466D0C"/>
    <w:lvl w:ilvl="0" w:tplc="F5BA89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16F66"/>
    <w:multiLevelType w:val="hybridMultilevel"/>
    <w:tmpl w:val="D9FC1568"/>
    <w:lvl w:ilvl="0" w:tplc="799E1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38F5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3827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BC8E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C18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B63B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5447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848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C03E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1307DB1"/>
    <w:multiLevelType w:val="hybridMultilevel"/>
    <w:tmpl w:val="3BC8C018"/>
    <w:lvl w:ilvl="0" w:tplc="1C6472C2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DFC4F2B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52737"/>
    <w:multiLevelType w:val="hybridMultilevel"/>
    <w:tmpl w:val="445E3C64"/>
    <w:lvl w:ilvl="0" w:tplc="4620C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172E6"/>
    <w:multiLevelType w:val="hybridMultilevel"/>
    <w:tmpl w:val="53404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C661E"/>
    <w:multiLevelType w:val="hybridMultilevel"/>
    <w:tmpl w:val="A4944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87504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0072D"/>
    <w:multiLevelType w:val="hybridMultilevel"/>
    <w:tmpl w:val="00F4065A"/>
    <w:lvl w:ilvl="0" w:tplc="62862716">
      <w:start w:val="1"/>
      <w:numFmt w:val="lowerLetter"/>
      <w:lvlText w:val="(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74E5A"/>
    <w:multiLevelType w:val="hybridMultilevel"/>
    <w:tmpl w:val="1CE83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84870"/>
    <w:multiLevelType w:val="hybridMultilevel"/>
    <w:tmpl w:val="433EF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6B10"/>
    <w:multiLevelType w:val="hybridMultilevel"/>
    <w:tmpl w:val="32DEBBCC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B3916"/>
    <w:multiLevelType w:val="hybridMultilevel"/>
    <w:tmpl w:val="1D54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8780B"/>
    <w:multiLevelType w:val="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E13BBA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24A8E"/>
    <w:multiLevelType w:val="hybridMultilevel"/>
    <w:tmpl w:val="B6628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54D71"/>
    <w:multiLevelType w:val="hybridMultilevel"/>
    <w:tmpl w:val="8626E4F6"/>
    <w:lvl w:ilvl="0" w:tplc="4D68FE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A4B40"/>
    <w:multiLevelType w:val="hybridMultilevel"/>
    <w:tmpl w:val="3A96D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359E3"/>
    <w:multiLevelType w:val="hybridMultilevel"/>
    <w:tmpl w:val="24DA41A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9117DC1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24E5C"/>
    <w:multiLevelType w:val="hybridMultilevel"/>
    <w:tmpl w:val="A87E6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841B3"/>
    <w:multiLevelType w:val="hybridMultilevel"/>
    <w:tmpl w:val="A1083482"/>
    <w:lvl w:ilvl="0" w:tplc="7DE67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055D9"/>
    <w:multiLevelType w:val="hybridMultilevel"/>
    <w:tmpl w:val="E842C6F4"/>
    <w:lvl w:ilvl="0" w:tplc="08090001">
      <w:start w:val="1"/>
      <w:numFmt w:val="bullet"/>
      <w:lvlText w:val=""/>
      <w:lvlJc w:val="left"/>
      <w:pPr>
        <w:ind w:left="458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178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32" w15:restartNumberingAfterBreak="0">
    <w:nsid w:val="6DE52E8D"/>
    <w:multiLevelType w:val="hybridMultilevel"/>
    <w:tmpl w:val="F050F48C"/>
    <w:lvl w:ilvl="0" w:tplc="4E00D4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06C13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34C46"/>
    <w:multiLevelType w:val="hybridMultilevel"/>
    <w:tmpl w:val="BFDE2F8A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5" w15:restartNumberingAfterBreak="0">
    <w:nsid w:val="7E624B70"/>
    <w:multiLevelType w:val="hybridMultilevel"/>
    <w:tmpl w:val="B49C4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F3BFD"/>
    <w:multiLevelType w:val="hybridMultilevel"/>
    <w:tmpl w:val="720C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977287">
    <w:abstractNumId w:val="31"/>
  </w:num>
  <w:num w:numId="2" w16cid:durableId="759181681">
    <w:abstractNumId w:val="35"/>
  </w:num>
  <w:num w:numId="3" w16cid:durableId="750740855">
    <w:abstractNumId w:val="1"/>
  </w:num>
  <w:num w:numId="4" w16cid:durableId="1845197317">
    <w:abstractNumId w:val="29"/>
  </w:num>
  <w:num w:numId="5" w16cid:durableId="1895002664">
    <w:abstractNumId w:val="3"/>
  </w:num>
  <w:num w:numId="6" w16cid:durableId="1982683951">
    <w:abstractNumId w:val="6"/>
  </w:num>
  <w:num w:numId="7" w16cid:durableId="526211240">
    <w:abstractNumId w:val="5"/>
  </w:num>
  <w:num w:numId="8" w16cid:durableId="26954937">
    <w:abstractNumId w:val="4"/>
  </w:num>
  <w:num w:numId="9" w16cid:durableId="310447228">
    <w:abstractNumId w:val="17"/>
  </w:num>
  <w:num w:numId="10" w16cid:durableId="1557160865">
    <w:abstractNumId w:val="10"/>
  </w:num>
  <w:num w:numId="11" w16cid:durableId="1823424505">
    <w:abstractNumId w:val="8"/>
  </w:num>
  <w:num w:numId="12" w16cid:durableId="1242450617">
    <w:abstractNumId w:val="13"/>
  </w:num>
  <w:num w:numId="13" w16cid:durableId="963542893">
    <w:abstractNumId w:val="30"/>
  </w:num>
  <w:num w:numId="14" w16cid:durableId="748427542">
    <w:abstractNumId w:val="9"/>
  </w:num>
  <w:num w:numId="15" w16cid:durableId="1065638374">
    <w:abstractNumId w:val="18"/>
  </w:num>
  <w:num w:numId="16" w16cid:durableId="263616372">
    <w:abstractNumId w:val="34"/>
  </w:num>
  <w:num w:numId="17" w16cid:durableId="340552914">
    <w:abstractNumId w:val="12"/>
  </w:num>
  <w:num w:numId="18" w16cid:durableId="1983802103">
    <w:abstractNumId w:val="16"/>
  </w:num>
  <w:num w:numId="19" w16cid:durableId="477458487">
    <w:abstractNumId w:val="20"/>
  </w:num>
  <w:num w:numId="20" w16cid:durableId="1956132768">
    <w:abstractNumId w:val="28"/>
  </w:num>
  <w:num w:numId="21" w16cid:durableId="62992172">
    <w:abstractNumId w:val="23"/>
  </w:num>
  <w:num w:numId="22" w16cid:durableId="300960408">
    <w:abstractNumId w:val="33"/>
  </w:num>
  <w:num w:numId="23" w16cid:durableId="1898124176">
    <w:abstractNumId w:val="14"/>
  </w:num>
  <w:num w:numId="24" w16cid:durableId="988095590">
    <w:abstractNumId w:val="7"/>
  </w:num>
  <w:num w:numId="25" w16cid:durableId="1795521634">
    <w:abstractNumId w:val="2"/>
  </w:num>
  <w:num w:numId="26" w16cid:durableId="529418540">
    <w:abstractNumId w:val="19"/>
  </w:num>
  <w:num w:numId="27" w16cid:durableId="620962420">
    <w:abstractNumId w:val="24"/>
  </w:num>
  <w:num w:numId="28" w16cid:durableId="1133332443">
    <w:abstractNumId w:val="27"/>
  </w:num>
  <w:num w:numId="29" w16cid:durableId="623653936">
    <w:abstractNumId w:val="0"/>
  </w:num>
  <w:num w:numId="30" w16cid:durableId="2005472358">
    <w:abstractNumId w:val="11"/>
  </w:num>
  <w:num w:numId="31" w16cid:durableId="5257380">
    <w:abstractNumId w:val="21"/>
  </w:num>
  <w:num w:numId="32" w16cid:durableId="1647584347">
    <w:abstractNumId w:val="26"/>
  </w:num>
  <w:num w:numId="33" w16cid:durableId="1700155452">
    <w:abstractNumId w:val="32"/>
  </w:num>
  <w:num w:numId="34" w16cid:durableId="1046373124">
    <w:abstractNumId w:val="15"/>
  </w:num>
  <w:num w:numId="35" w16cid:durableId="406415085">
    <w:abstractNumId w:val="36"/>
  </w:num>
  <w:num w:numId="36" w16cid:durableId="701711943">
    <w:abstractNumId w:val="22"/>
  </w:num>
  <w:num w:numId="37" w16cid:durableId="1395852801">
    <w:abstractNumId w:val="25"/>
  </w:num>
  <w:num w:numId="38" w16cid:durableId="1632401069">
    <w:abstractNumId w:val="22"/>
  </w:num>
  <w:num w:numId="39" w16cid:durableId="63377389">
    <w:abstractNumId w:val="22"/>
  </w:num>
  <w:num w:numId="40" w16cid:durableId="1228763491">
    <w:abstractNumId w:val="22"/>
  </w:num>
  <w:num w:numId="41" w16cid:durableId="1817136753">
    <w:abstractNumId w:val="22"/>
  </w:num>
  <w:num w:numId="42" w16cid:durableId="159084376">
    <w:abstractNumId w:val="22"/>
  </w:num>
  <w:num w:numId="43" w16cid:durableId="1852596828">
    <w:abstractNumId w:val="22"/>
  </w:num>
  <w:num w:numId="44" w16cid:durableId="708721067">
    <w:abstractNumId w:val="22"/>
  </w:num>
  <w:num w:numId="45" w16cid:durableId="1446071513">
    <w:abstractNumId w:val="22"/>
  </w:num>
  <w:num w:numId="46" w16cid:durableId="2091073689">
    <w:abstractNumId w:val="22"/>
  </w:num>
  <w:num w:numId="47" w16cid:durableId="645862473">
    <w:abstractNumId w:val="22"/>
  </w:num>
  <w:num w:numId="48" w16cid:durableId="1694572014">
    <w:abstractNumId w:val="22"/>
  </w:num>
  <w:num w:numId="49" w16cid:durableId="15156628">
    <w:abstractNumId w:val="22"/>
  </w:num>
  <w:num w:numId="50" w16cid:durableId="15006516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C0A"/>
    <w:rsid w:val="00006E3F"/>
    <w:rsid w:val="00017C28"/>
    <w:rsid w:val="00024C44"/>
    <w:rsid w:val="00037430"/>
    <w:rsid w:val="00063809"/>
    <w:rsid w:val="00081541"/>
    <w:rsid w:val="000A1211"/>
    <w:rsid w:val="000A4606"/>
    <w:rsid w:val="000A514D"/>
    <w:rsid w:val="000A7BA8"/>
    <w:rsid w:val="000C6750"/>
    <w:rsid w:val="000D21D6"/>
    <w:rsid w:val="000D246E"/>
    <w:rsid w:val="000D7182"/>
    <w:rsid w:val="000E2B11"/>
    <w:rsid w:val="000E4169"/>
    <w:rsid w:val="001008D4"/>
    <w:rsid w:val="00102BEB"/>
    <w:rsid w:val="001068EA"/>
    <w:rsid w:val="00110E35"/>
    <w:rsid w:val="001123DB"/>
    <w:rsid w:val="00136822"/>
    <w:rsid w:val="00141959"/>
    <w:rsid w:val="00146175"/>
    <w:rsid w:val="00151ED7"/>
    <w:rsid w:val="00171091"/>
    <w:rsid w:val="001825C8"/>
    <w:rsid w:val="00192E26"/>
    <w:rsid w:val="0019568D"/>
    <w:rsid w:val="001963DF"/>
    <w:rsid w:val="001A7657"/>
    <w:rsid w:val="001A795E"/>
    <w:rsid w:val="001C0EDE"/>
    <w:rsid w:val="001C2801"/>
    <w:rsid w:val="001E30D6"/>
    <w:rsid w:val="001E4FA5"/>
    <w:rsid w:val="001F4EA9"/>
    <w:rsid w:val="00201511"/>
    <w:rsid w:val="002027FD"/>
    <w:rsid w:val="0022707A"/>
    <w:rsid w:val="002355F5"/>
    <w:rsid w:val="00241E64"/>
    <w:rsid w:val="0024528F"/>
    <w:rsid w:val="00251018"/>
    <w:rsid w:val="00252304"/>
    <w:rsid w:val="00254F66"/>
    <w:rsid w:val="00265F90"/>
    <w:rsid w:val="002751DB"/>
    <w:rsid w:val="002833B4"/>
    <w:rsid w:val="00287A5F"/>
    <w:rsid w:val="002945CC"/>
    <w:rsid w:val="002B2232"/>
    <w:rsid w:val="002C0D2B"/>
    <w:rsid w:val="002C12E6"/>
    <w:rsid w:val="002D62B8"/>
    <w:rsid w:val="002E33CE"/>
    <w:rsid w:val="002E55CB"/>
    <w:rsid w:val="002F2A24"/>
    <w:rsid w:val="003064E2"/>
    <w:rsid w:val="003256D9"/>
    <w:rsid w:val="00327E03"/>
    <w:rsid w:val="00335544"/>
    <w:rsid w:val="0033694B"/>
    <w:rsid w:val="00351AE5"/>
    <w:rsid w:val="00370376"/>
    <w:rsid w:val="00372C88"/>
    <w:rsid w:val="00373DAB"/>
    <w:rsid w:val="00383B04"/>
    <w:rsid w:val="00394D8B"/>
    <w:rsid w:val="003A5DE1"/>
    <w:rsid w:val="003B2B94"/>
    <w:rsid w:val="003C1C3F"/>
    <w:rsid w:val="003C1FBC"/>
    <w:rsid w:val="003C6C57"/>
    <w:rsid w:val="003D3199"/>
    <w:rsid w:val="003F027B"/>
    <w:rsid w:val="003F7809"/>
    <w:rsid w:val="00412AAC"/>
    <w:rsid w:val="00417615"/>
    <w:rsid w:val="004250AB"/>
    <w:rsid w:val="00427594"/>
    <w:rsid w:val="00427FAC"/>
    <w:rsid w:val="004322A5"/>
    <w:rsid w:val="00442888"/>
    <w:rsid w:val="00447479"/>
    <w:rsid w:val="00454880"/>
    <w:rsid w:val="00461388"/>
    <w:rsid w:val="00462B0A"/>
    <w:rsid w:val="0046314B"/>
    <w:rsid w:val="00471551"/>
    <w:rsid w:val="00472094"/>
    <w:rsid w:val="004767A9"/>
    <w:rsid w:val="004813E6"/>
    <w:rsid w:val="00482752"/>
    <w:rsid w:val="00483F46"/>
    <w:rsid w:val="00486806"/>
    <w:rsid w:val="004B061E"/>
    <w:rsid w:val="004C16CA"/>
    <w:rsid w:val="004C4E6D"/>
    <w:rsid w:val="004D4981"/>
    <w:rsid w:val="004E02FF"/>
    <w:rsid w:val="004E29E7"/>
    <w:rsid w:val="004F41FB"/>
    <w:rsid w:val="00503911"/>
    <w:rsid w:val="00505EA4"/>
    <w:rsid w:val="00506DC8"/>
    <w:rsid w:val="00515AC9"/>
    <w:rsid w:val="00535478"/>
    <w:rsid w:val="005479E4"/>
    <w:rsid w:val="00552C56"/>
    <w:rsid w:val="00555E6C"/>
    <w:rsid w:val="005730E1"/>
    <w:rsid w:val="005B5F60"/>
    <w:rsid w:val="005D2B1E"/>
    <w:rsid w:val="005D3510"/>
    <w:rsid w:val="005E3183"/>
    <w:rsid w:val="005E3B87"/>
    <w:rsid w:val="005F1268"/>
    <w:rsid w:val="00606B76"/>
    <w:rsid w:val="006072ED"/>
    <w:rsid w:val="00614063"/>
    <w:rsid w:val="00617875"/>
    <w:rsid w:val="00624E9C"/>
    <w:rsid w:val="00644915"/>
    <w:rsid w:val="0064639A"/>
    <w:rsid w:val="0065050F"/>
    <w:rsid w:val="00650EDB"/>
    <w:rsid w:val="0066179F"/>
    <w:rsid w:val="006657FD"/>
    <w:rsid w:val="0068185E"/>
    <w:rsid w:val="006940EC"/>
    <w:rsid w:val="00694E98"/>
    <w:rsid w:val="006A0E19"/>
    <w:rsid w:val="006A2F96"/>
    <w:rsid w:val="006A78EE"/>
    <w:rsid w:val="006B31F4"/>
    <w:rsid w:val="006B3F01"/>
    <w:rsid w:val="006B41D7"/>
    <w:rsid w:val="006C12DA"/>
    <w:rsid w:val="006D0A95"/>
    <w:rsid w:val="006E6C3A"/>
    <w:rsid w:val="006F270F"/>
    <w:rsid w:val="006F410B"/>
    <w:rsid w:val="00701A1C"/>
    <w:rsid w:val="00702784"/>
    <w:rsid w:val="00705D1F"/>
    <w:rsid w:val="00715F96"/>
    <w:rsid w:val="00716019"/>
    <w:rsid w:val="00716A98"/>
    <w:rsid w:val="0072196B"/>
    <w:rsid w:val="00727399"/>
    <w:rsid w:val="00727F39"/>
    <w:rsid w:val="00730ED8"/>
    <w:rsid w:val="00733A52"/>
    <w:rsid w:val="007359CB"/>
    <w:rsid w:val="007476AF"/>
    <w:rsid w:val="007501EA"/>
    <w:rsid w:val="00772E4B"/>
    <w:rsid w:val="007758F9"/>
    <w:rsid w:val="007879FC"/>
    <w:rsid w:val="00792F69"/>
    <w:rsid w:val="00795D3A"/>
    <w:rsid w:val="00796AD3"/>
    <w:rsid w:val="007B37C4"/>
    <w:rsid w:val="007C170F"/>
    <w:rsid w:val="007D19D0"/>
    <w:rsid w:val="007F425A"/>
    <w:rsid w:val="007F77DA"/>
    <w:rsid w:val="00803E10"/>
    <w:rsid w:val="00813A60"/>
    <w:rsid w:val="00814A63"/>
    <w:rsid w:val="00831D8F"/>
    <w:rsid w:val="00836B55"/>
    <w:rsid w:val="008408AE"/>
    <w:rsid w:val="00841A61"/>
    <w:rsid w:val="00860962"/>
    <w:rsid w:val="008671EC"/>
    <w:rsid w:val="0087348A"/>
    <w:rsid w:val="00875708"/>
    <w:rsid w:val="00883A03"/>
    <w:rsid w:val="00886D00"/>
    <w:rsid w:val="00890084"/>
    <w:rsid w:val="00890D4C"/>
    <w:rsid w:val="0089122F"/>
    <w:rsid w:val="008923D5"/>
    <w:rsid w:val="008A3EE5"/>
    <w:rsid w:val="008A59BA"/>
    <w:rsid w:val="008B02E4"/>
    <w:rsid w:val="008B2DCF"/>
    <w:rsid w:val="008F0B30"/>
    <w:rsid w:val="008F210D"/>
    <w:rsid w:val="008F63FC"/>
    <w:rsid w:val="00912591"/>
    <w:rsid w:val="00914BE2"/>
    <w:rsid w:val="00917A03"/>
    <w:rsid w:val="0092684B"/>
    <w:rsid w:val="00947611"/>
    <w:rsid w:val="009501B8"/>
    <w:rsid w:val="00953654"/>
    <w:rsid w:val="00956228"/>
    <w:rsid w:val="00957CC0"/>
    <w:rsid w:val="00967E59"/>
    <w:rsid w:val="00971A5B"/>
    <w:rsid w:val="00973C5B"/>
    <w:rsid w:val="00994503"/>
    <w:rsid w:val="009A06DE"/>
    <w:rsid w:val="009A38EE"/>
    <w:rsid w:val="009B0E05"/>
    <w:rsid w:val="009C2F87"/>
    <w:rsid w:val="009C5367"/>
    <w:rsid w:val="009C74B6"/>
    <w:rsid w:val="009D55A0"/>
    <w:rsid w:val="009D55EF"/>
    <w:rsid w:val="009D6252"/>
    <w:rsid w:val="009D7A2D"/>
    <w:rsid w:val="009D7C52"/>
    <w:rsid w:val="009E2B03"/>
    <w:rsid w:val="009F573F"/>
    <w:rsid w:val="009F5C86"/>
    <w:rsid w:val="00A074E9"/>
    <w:rsid w:val="00A26620"/>
    <w:rsid w:val="00A33458"/>
    <w:rsid w:val="00A44A49"/>
    <w:rsid w:val="00A53A57"/>
    <w:rsid w:val="00A53C11"/>
    <w:rsid w:val="00A612AA"/>
    <w:rsid w:val="00A67A92"/>
    <w:rsid w:val="00A75691"/>
    <w:rsid w:val="00A80C55"/>
    <w:rsid w:val="00AA1D76"/>
    <w:rsid w:val="00AA4A99"/>
    <w:rsid w:val="00AA7242"/>
    <w:rsid w:val="00AB1FA3"/>
    <w:rsid w:val="00AB2778"/>
    <w:rsid w:val="00AC129D"/>
    <w:rsid w:val="00AC24F1"/>
    <w:rsid w:val="00AC254B"/>
    <w:rsid w:val="00AC38FF"/>
    <w:rsid w:val="00AC4391"/>
    <w:rsid w:val="00AD25AC"/>
    <w:rsid w:val="00AD2E03"/>
    <w:rsid w:val="00AD7C39"/>
    <w:rsid w:val="00AF085A"/>
    <w:rsid w:val="00AF2213"/>
    <w:rsid w:val="00B06630"/>
    <w:rsid w:val="00B10495"/>
    <w:rsid w:val="00B236D1"/>
    <w:rsid w:val="00B23882"/>
    <w:rsid w:val="00B266F0"/>
    <w:rsid w:val="00B30238"/>
    <w:rsid w:val="00B3183E"/>
    <w:rsid w:val="00B36BCE"/>
    <w:rsid w:val="00B370CE"/>
    <w:rsid w:val="00B41E61"/>
    <w:rsid w:val="00B435F6"/>
    <w:rsid w:val="00B4743F"/>
    <w:rsid w:val="00B5003E"/>
    <w:rsid w:val="00B51ADA"/>
    <w:rsid w:val="00B52F24"/>
    <w:rsid w:val="00B5487A"/>
    <w:rsid w:val="00B82125"/>
    <w:rsid w:val="00BA3279"/>
    <w:rsid w:val="00BA54AF"/>
    <w:rsid w:val="00BA5F7E"/>
    <w:rsid w:val="00BB4DF8"/>
    <w:rsid w:val="00BB5780"/>
    <w:rsid w:val="00BD19E7"/>
    <w:rsid w:val="00BD41D5"/>
    <w:rsid w:val="00BD7045"/>
    <w:rsid w:val="00BE792F"/>
    <w:rsid w:val="00BF63A8"/>
    <w:rsid w:val="00C02C88"/>
    <w:rsid w:val="00C15187"/>
    <w:rsid w:val="00C314B0"/>
    <w:rsid w:val="00C33405"/>
    <w:rsid w:val="00C36C20"/>
    <w:rsid w:val="00C41EF4"/>
    <w:rsid w:val="00C42053"/>
    <w:rsid w:val="00C45690"/>
    <w:rsid w:val="00C518CC"/>
    <w:rsid w:val="00C524C4"/>
    <w:rsid w:val="00C600E1"/>
    <w:rsid w:val="00C75B4D"/>
    <w:rsid w:val="00C905A2"/>
    <w:rsid w:val="00C91E83"/>
    <w:rsid w:val="00CA446F"/>
    <w:rsid w:val="00CA68AD"/>
    <w:rsid w:val="00CC19E7"/>
    <w:rsid w:val="00CC2404"/>
    <w:rsid w:val="00CD088C"/>
    <w:rsid w:val="00CD32BA"/>
    <w:rsid w:val="00CE0357"/>
    <w:rsid w:val="00CE723C"/>
    <w:rsid w:val="00D03704"/>
    <w:rsid w:val="00D05BF2"/>
    <w:rsid w:val="00D21FA2"/>
    <w:rsid w:val="00D2493A"/>
    <w:rsid w:val="00D26D9F"/>
    <w:rsid w:val="00D32AAF"/>
    <w:rsid w:val="00D36A1B"/>
    <w:rsid w:val="00D44894"/>
    <w:rsid w:val="00D61501"/>
    <w:rsid w:val="00D63618"/>
    <w:rsid w:val="00D803AE"/>
    <w:rsid w:val="00D87270"/>
    <w:rsid w:val="00DA0ED1"/>
    <w:rsid w:val="00DC7767"/>
    <w:rsid w:val="00DC7A9D"/>
    <w:rsid w:val="00DD2B61"/>
    <w:rsid w:val="00DD640E"/>
    <w:rsid w:val="00DE687E"/>
    <w:rsid w:val="00DF45B0"/>
    <w:rsid w:val="00DF6E92"/>
    <w:rsid w:val="00E05841"/>
    <w:rsid w:val="00E100B5"/>
    <w:rsid w:val="00E10C0C"/>
    <w:rsid w:val="00E1649B"/>
    <w:rsid w:val="00E212AE"/>
    <w:rsid w:val="00E24886"/>
    <w:rsid w:val="00E30ACA"/>
    <w:rsid w:val="00E3628C"/>
    <w:rsid w:val="00E367A8"/>
    <w:rsid w:val="00E42E69"/>
    <w:rsid w:val="00E4518A"/>
    <w:rsid w:val="00E4572D"/>
    <w:rsid w:val="00E53138"/>
    <w:rsid w:val="00E5487D"/>
    <w:rsid w:val="00E756A1"/>
    <w:rsid w:val="00E76C8B"/>
    <w:rsid w:val="00E77170"/>
    <w:rsid w:val="00E86136"/>
    <w:rsid w:val="00E921EE"/>
    <w:rsid w:val="00E93194"/>
    <w:rsid w:val="00EB2BAD"/>
    <w:rsid w:val="00EB55AF"/>
    <w:rsid w:val="00EC2F18"/>
    <w:rsid w:val="00EC7BF9"/>
    <w:rsid w:val="00EC7CF5"/>
    <w:rsid w:val="00ED7DFB"/>
    <w:rsid w:val="00EE4E2D"/>
    <w:rsid w:val="00EF70C1"/>
    <w:rsid w:val="00F02696"/>
    <w:rsid w:val="00F04A4F"/>
    <w:rsid w:val="00F12B0F"/>
    <w:rsid w:val="00F316F7"/>
    <w:rsid w:val="00F43A5F"/>
    <w:rsid w:val="00F4602F"/>
    <w:rsid w:val="00F5063C"/>
    <w:rsid w:val="00F62BAF"/>
    <w:rsid w:val="00F6499B"/>
    <w:rsid w:val="00F77501"/>
    <w:rsid w:val="00F95286"/>
    <w:rsid w:val="00FA39E7"/>
    <w:rsid w:val="00FB29F1"/>
    <w:rsid w:val="00FB517D"/>
    <w:rsid w:val="00FD1C44"/>
    <w:rsid w:val="00FE19FC"/>
    <w:rsid w:val="00FE60AA"/>
    <w:rsid w:val="00FF35CE"/>
    <w:rsid w:val="74A106B7"/>
    <w:rsid w:val="7784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."/>
  <w:listSeparator w:val=","/>
  <w14:docId w14:val="3B832EA3"/>
  <w15:docId w15:val="{53E2A9D0-F24D-4413-9F4C-6945C5C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36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36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36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FB29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9A7EF7-EDE3-4B89-8EEE-ECB22FDED0AB}"/>
</file>

<file path=customXml/itemProps2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Dmitriy Mostovoy</dc:creator>
  <cp:lastModifiedBy>Freddie Valletta</cp:lastModifiedBy>
  <cp:revision>5</cp:revision>
  <cp:lastPrinted>2019-01-11T16:22:00Z</cp:lastPrinted>
  <dcterms:created xsi:type="dcterms:W3CDTF">2022-01-11T19:20:00Z</dcterms:created>
  <dcterms:modified xsi:type="dcterms:W3CDTF">2022-04-25T21:34:00Z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