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D8B22" w14:textId="77777777" w:rsidR="003C1C3F" w:rsidRDefault="003C1C3F" w:rsidP="00C25DFD">
      <w:pPr>
        <w:ind w:hanging="142"/>
        <w:jc w:val="both"/>
        <w:rPr>
          <w:rFonts w:cstheme="minorHAnsi"/>
          <w:noProof/>
          <w:color w:val="000000"/>
          <w:lang w:val="en-GB" w:eastAsia="en-GB"/>
        </w:rPr>
      </w:pPr>
    </w:p>
    <w:p w14:paraId="6C46B900" w14:textId="77777777" w:rsidR="003C1C3F" w:rsidRDefault="003C1C3F" w:rsidP="00C25DFD">
      <w:pPr>
        <w:ind w:hanging="142"/>
        <w:jc w:val="both"/>
        <w:rPr>
          <w:rFonts w:cstheme="minorHAnsi"/>
          <w:noProof/>
          <w:color w:val="000000"/>
          <w:lang w:val="en-GB" w:eastAsia="en-GB"/>
        </w:rPr>
      </w:pPr>
    </w:p>
    <w:p w14:paraId="18641A6E" w14:textId="361F5D30" w:rsidR="00DC7A9D" w:rsidRPr="0068185E" w:rsidRDefault="003C1C3F" w:rsidP="00C25DFD">
      <w:pPr>
        <w:ind w:hanging="142"/>
        <w:jc w:val="both"/>
        <w:rPr>
          <w:rFonts w:cstheme="minorHAnsi"/>
          <w:noProof/>
          <w:color w:val="000000"/>
          <w:lang w:val="en-GB" w:eastAsia="en-GB"/>
        </w:rPr>
      </w:pPr>
      <w:r w:rsidRPr="00BD5553">
        <w:rPr>
          <w:rFonts w:ascii="Arial" w:hAnsi="Arial" w:cs="Arial"/>
          <w:b/>
          <w:noProof/>
          <w:sz w:val="32"/>
          <w:szCs w:val="20"/>
        </w:rPr>
        <w:drawing>
          <wp:anchor distT="0" distB="0" distL="114300" distR="114300" simplePos="0" relativeHeight="251658240" behindDoc="1" locked="0" layoutInCell="1" allowOverlap="1" wp14:anchorId="6522F935" wp14:editId="09BF4ED2">
            <wp:simplePos x="0" y="0"/>
            <wp:positionH relativeFrom="margin">
              <wp:posOffset>0</wp:posOffset>
            </wp:positionH>
            <wp:positionV relativeFrom="page">
              <wp:posOffset>629920</wp:posOffset>
            </wp:positionV>
            <wp:extent cx="1274568" cy="744279"/>
            <wp:effectExtent l="0" t="0" r="190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74568" cy="744279"/>
                    </a:xfrm>
                    <a:prstGeom prst="rect">
                      <a:avLst/>
                    </a:prstGeom>
                    <a:noFill/>
                  </pic:spPr>
                </pic:pic>
              </a:graphicData>
            </a:graphic>
            <wp14:sizeRelH relativeFrom="page">
              <wp14:pctWidth>0</wp14:pctWidth>
            </wp14:sizeRelH>
            <wp14:sizeRelV relativeFrom="page">
              <wp14:pctHeight>0</wp14:pctHeight>
            </wp14:sizeRelV>
          </wp:anchor>
        </w:drawing>
      </w:r>
    </w:p>
    <w:tbl>
      <w:tblPr>
        <w:tblStyle w:val="TableGrid"/>
        <w:tblW w:w="0" w:type="auto"/>
        <w:tblLook w:val="04A0" w:firstRow="1" w:lastRow="0" w:firstColumn="1" w:lastColumn="0" w:noHBand="0" w:noVBand="1"/>
      </w:tblPr>
      <w:tblGrid>
        <w:gridCol w:w="2330"/>
        <w:gridCol w:w="2331"/>
        <w:gridCol w:w="1146"/>
        <w:gridCol w:w="1185"/>
        <w:gridCol w:w="2331"/>
      </w:tblGrid>
      <w:tr w:rsidR="00017C28" w:rsidRPr="0068185E" w14:paraId="286F7613" w14:textId="7C25DBED" w:rsidTr="00017C28">
        <w:tc>
          <w:tcPr>
            <w:tcW w:w="5807" w:type="dxa"/>
            <w:gridSpan w:val="3"/>
          </w:tcPr>
          <w:p w14:paraId="099807CA" w14:textId="4F8BDB60" w:rsidR="00017C28" w:rsidRPr="0068185E" w:rsidRDefault="00017C28" w:rsidP="00C25DFD">
            <w:pPr>
              <w:spacing w:before="120" w:after="120" w:line="276" w:lineRule="auto"/>
              <w:jc w:val="both"/>
              <w:rPr>
                <w:rFonts w:cstheme="minorHAnsi"/>
                <w:b/>
                <w:sz w:val="32"/>
                <w:szCs w:val="36"/>
              </w:rPr>
            </w:pPr>
            <w:r w:rsidRPr="0068185E">
              <w:rPr>
                <w:rFonts w:cstheme="minorHAnsi"/>
                <w:b/>
                <w:sz w:val="32"/>
                <w:szCs w:val="36"/>
              </w:rPr>
              <w:t>Technical Note</w:t>
            </w:r>
          </w:p>
        </w:tc>
        <w:tc>
          <w:tcPr>
            <w:tcW w:w="3516" w:type="dxa"/>
            <w:gridSpan w:val="2"/>
          </w:tcPr>
          <w:p w14:paraId="53730896" w14:textId="39433444" w:rsidR="00017C28" w:rsidRPr="0068185E" w:rsidRDefault="00BD09F4" w:rsidP="00C25DFD">
            <w:pPr>
              <w:spacing w:before="120" w:after="120" w:line="276" w:lineRule="auto"/>
              <w:jc w:val="both"/>
              <w:rPr>
                <w:rFonts w:cstheme="minorHAnsi"/>
                <w:b/>
                <w:sz w:val="32"/>
                <w:szCs w:val="36"/>
              </w:rPr>
            </w:pPr>
            <w:r w:rsidRPr="008F6D0A">
              <w:rPr>
                <w:rFonts w:cstheme="minorHAnsi"/>
                <w:b/>
                <w:sz w:val="32"/>
                <w:szCs w:val="36"/>
              </w:rPr>
              <w:t>TN-</w:t>
            </w:r>
            <w:r w:rsidR="008F6D0A" w:rsidRPr="008F6D0A">
              <w:rPr>
                <w:rFonts w:cstheme="minorHAnsi"/>
                <w:b/>
                <w:sz w:val="32"/>
                <w:szCs w:val="36"/>
              </w:rPr>
              <w:t>010</w:t>
            </w:r>
          </w:p>
        </w:tc>
      </w:tr>
      <w:tr w:rsidR="00017C28" w:rsidRPr="0068185E" w14:paraId="3F21FD0F" w14:textId="7F1D3522" w:rsidTr="00017C28">
        <w:tc>
          <w:tcPr>
            <w:tcW w:w="5807" w:type="dxa"/>
            <w:gridSpan w:val="3"/>
          </w:tcPr>
          <w:p w14:paraId="06ECA27B" w14:textId="1EC032F0" w:rsidR="00017C28" w:rsidRPr="0068185E" w:rsidRDefault="008B2DCF" w:rsidP="00C25DFD">
            <w:pPr>
              <w:spacing w:before="120" w:after="120" w:line="276" w:lineRule="auto"/>
              <w:jc w:val="both"/>
              <w:rPr>
                <w:rFonts w:cstheme="minorHAnsi"/>
                <w:sz w:val="22"/>
                <w:szCs w:val="22"/>
              </w:rPr>
            </w:pPr>
            <w:r w:rsidRPr="0068185E">
              <w:rPr>
                <w:rFonts w:cstheme="minorHAnsi"/>
                <w:b/>
                <w:sz w:val="22"/>
                <w:szCs w:val="22"/>
              </w:rPr>
              <w:t>Test</w:t>
            </w:r>
            <w:r w:rsidR="00017C28" w:rsidRPr="0068185E">
              <w:rPr>
                <w:rFonts w:cstheme="minorHAnsi"/>
                <w:b/>
                <w:sz w:val="22"/>
                <w:szCs w:val="22"/>
              </w:rPr>
              <w:t>:</w:t>
            </w:r>
            <w:r w:rsidR="00017C28" w:rsidRPr="0068185E">
              <w:rPr>
                <w:rFonts w:cstheme="minorHAnsi"/>
                <w:sz w:val="22"/>
                <w:szCs w:val="22"/>
              </w:rPr>
              <w:t xml:space="preserve"> </w:t>
            </w:r>
            <w:r w:rsidR="001525A8">
              <w:rPr>
                <w:rFonts w:cstheme="minorHAnsi"/>
                <w:sz w:val="22"/>
                <w:szCs w:val="22"/>
              </w:rPr>
              <w:t>General</w:t>
            </w:r>
          </w:p>
        </w:tc>
        <w:tc>
          <w:tcPr>
            <w:tcW w:w="3516" w:type="dxa"/>
            <w:gridSpan w:val="2"/>
          </w:tcPr>
          <w:p w14:paraId="1E8C66F8" w14:textId="191F3E28" w:rsidR="00017C28" w:rsidRPr="0068185E" w:rsidRDefault="00AD7C39" w:rsidP="00C25DFD">
            <w:pPr>
              <w:spacing w:before="120" w:after="120" w:line="276" w:lineRule="auto"/>
              <w:jc w:val="both"/>
              <w:rPr>
                <w:rFonts w:cstheme="minorHAnsi"/>
                <w:sz w:val="22"/>
                <w:szCs w:val="22"/>
              </w:rPr>
            </w:pPr>
            <w:r w:rsidRPr="0068185E">
              <w:rPr>
                <w:rFonts w:cstheme="minorHAnsi"/>
                <w:b/>
                <w:sz w:val="22"/>
                <w:szCs w:val="22"/>
              </w:rPr>
              <w:t>Test no.</w:t>
            </w:r>
            <w:r w:rsidR="00017C28" w:rsidRPr="0068185E">
              <w:rPr>
                <w:rFonts w:cstheme="minorHAnsi"/>
                <w:b/>
                <w:sz w:val="22"/>
                <w:szCs w:val="22"/>
              </w:rPr>
              <w:t>:</w:t>
            </w:r>
            <w:r w:rsidR="00017C28" w:rsidRPr="0068185E">
              <w:rPr>
                <w:rFonts w:cstheme="minorHAnsi"/>
                <w:sz w:val="22"/>
                <w:szCs w:val="22"/>
              </w:rPr>
              <w:t xml:space="preserve"> </w:t>
            </w:r>
          </w:p>
        </w:tc>
      </w:tr>
      <w:tr w:rsidR="003C1C3F" w:rsidRPr="0068185E" w14:paraId="718C8716" w14:textId="77777777" w:rsidTr="00017C28">
        <w:tc>
          <w:tcPr>
            <w:tcW w:w="5807" w:type="dxa"/>
            <w:gridSpan w:val="3"/>
          </w:tcPr>
          <w:p w14:paraId="636F8EFF" w14:textId="30AAAD1E" w:rsidR="003C1C3F" w:rsidRPr="0068185E" w:rsidRDefault="00E7516D" w:rsidP="00C25DFD">
            <w:pPr>
              <w:spacing w:before="120" w:after="120"/>
              <w:jc w:val="both"/>
              <w:rPr>
                <w:rFonts w:cstheme="minorHAnsi"/>
                <w:b/>
              </w:rPr>
            </w:pPr>
            <w:r>
              <w:rPr>
                <w:rFonts w:cstheme="minorHAnsi"/>
                <w:b/>
                <w:sz w:val="22"/>
                <w:szCs w:val="22"/>
              </w:rPr>
              <w:t xml:space="preserve">Assumption: Reference </w:t>
            </w:r>
            <w:r w:rsidR="001525A8">
              <w:rPr>
                <w:rFonts w:cstheme="minorHAnsi"/>
                <w:b/>
                <w:sz w:val="22"/>
                <w:szCs w:val="22"/>
              </w:rPr>
              <w:t>Building</w:t>
            </w:r>
          </w:p>
        </w:tc>
        <w:tc>
          <w:tcPr>
            <w:tcW w:w="3516" w:type="dxa"/>
            <w:gridSpan w:val="2"/>
          </w:tcPr>
          <w:p w14:paraId="49CDA700" w14:textId="2CB8EF1A" w:rsidR="003C1C3F" w:rsidRPr="0068185E" w:rsidRDefault="003C1C3F" w:rsidP="00C25DFD">
            <w:pPr>
              <w:spacing w:before="120" w:after="120"/>
              <w:jc w:val="both"/>
              <w:rPr>
                <w:rFonts w:cstheme="minorHAnsi"/>
                <w:b/>
              </w:rPr>
            </w:pPr>
          </w:p>
        </w:tc>
      </w:tr>
      <w:tr w:rsidR="00017C28" w:rsidRPr="0068185E" w14:paraId="654BFA1A" w14:textId="37D4D373" w:rsidTr="00AD0AD7">
        <w:tc>
          <w:tcPr>
            <w:tcW w:w="2330" w:type="dxa"/>
          </w:tcPr>
          <w:p w14:paraId="57E74381" w14:textId="77777777" w:rsidR="00017C28" w:rsidRPr="0068185E" w:rsidRDefault="00017C28" w:rsidP="00C25DFD">
            <w:pPr>
              <w:spacing w:before="120" w:after="120" w:line="276" w:lineRule="auto"/>
              <w:jc w:val="both"/>
              <w:rPr>
                <w:rFonts w:cstheme="minorHAnsi"/>
                <w:b/>
                <w:sz w:val="22"/>
                <w:szCs w:val="22"/>
              </w:rPr>
            </w:pPr>
            <w:r w:rsidRPr="0068185E">
              <w:rPr>
                <w:rFonts w:cstheme="minorHAnsi"/>
                <w:b/>
                <w:sz w:val="22"/>
                <w:szCs w:val="22"/>
              </w:rPr>
              <w:t>Rev:</w:t>
            </w:r>
          </w:p>
          <w:p w14:paraId="1412685A" w14:textId="781E778D" w:rsidR="00017C28" w:rsidRPr="0068185E" w:rsidRDefault="000E1065" w:rsidP="00C25DFD">
            <w:pPr>
              <w:spacing w:before="120" w:after="120" w:line="276" w:lineRule="auto"/>
              <w:jc w:val="both"/>
              <w:rPr>
                <w:rFonts w:cstheme="minorHAnsi"/>
                <w:sz w:val="22"/>
                <w:szCs w:val="22"/>
              </w:rPr>
            </w:pPr>
            <w:r>
              <w:rPr>
                <w:rFonts w:cstheme="minorHAnsi"/>
                <w:sz w:val="22"/>
                <w:szCs w:val="22"/>
              </w:rPr>
              <w:t>0</w:t>
            </w:r>
            <w:r w:rsidR="008F6D0A">
              <w:rPr>
                <w:rFonts w:cstheme="minorHAnsi"/>
                <w:sz w:val="22"/>
                <w:szCs w:val="22"/>
              </w:rPr>
              <w:t>4</w:t>
            </w:r>
          </w:p>
        </w:tc>
        <w:tc>
          <w:tcPr>
            <w:tcW w:w="2331" w:type="dxa"/>
          </w:tcPr>
          <w:p w14:paraId="2EB87D4E" w14:textId="77777777" w:rsidR="00017C28" w:rsidRPr="0068185E" w:rsidRDefault="00017C28" w:rsidP="00C25DFD">
            <w:pPr>
              <w:spacing w:before="120" w:after="120" w:line="276" w:lineRule="auto"/>
              <w:jc w:val="both"/>
              <w:rPr>
                <w:rFonts w:cstheme="minorHAnsi"/>
                <w:b/>
                <w:sz w:val="22"/>
                <w:szCs w:val="22"/>
              </w:rPr>
            </w:pPr>
            <w:r w:rsidRPr="0068185E">
              <w:rPr>
                <w:rFonts w:cstheme="minorHAnsi"/>
                <w:b/>
                <w:sz w:val="22"/>
                <w:szCs w:val="22"/>
              </w:rPr>
              <w:t>Date:</w:t>
            </w:r>
          </w:p>
          <w:p w14:paraId="213A08F5" w14:textId="6718CD06" w:rsidR="00F43A5F" w:rsidRPr="0068185E" w:rsidRDefault="00793EB8" w:rsidP="00C25DFD">
            <w:pPr>
              <w:spacing w:before="120" w:after="120" w:line="276" w:lineRule="auto"/>
              <w:jc w:val="both"/>
              <w:rPr>
                <w:rFonts w:cstheme="minorHAnsi"/>
                <w:sz w:val="22"/>
                <w:szCs w:val="22"/>
              </w:rPr>
            </w:pPr>
            <w:r>
              <w:rPr>
                <w:rFonts w:cstheme="minorHAnsi"/>
                <w:sz w:val="22"/>
                <w:szCs w:val="22"/>
              </w:rPr>
              <w:t>11</w:t>
            </w:r>
            <w:r w:rsidR="00BC577A">
              <w:rPr>
                <w:rFonts w:cstheme="minorHAnsi"/>
                <w:sz w:val="22"/>
                <w:szCs w:val="22"/>
              </w:rPr>
              <w:t>/</w:t>
            </w:r>
            <w:r w:rsidR="00E12A39">
              <w:rPr>
                <w:rFonts w:cstheme="minorHAnsi"/>
                <w:sz w:val="22"/>
                <w:szCs w:val="22"/>
              </w:rPr>
              <w:t>0</w:t>
            </w:r>
            <w:r w:rsidR="003F78DC">
              <w:rPr>
                <w:rFonts w:cstheme="minorHAnsi"/>
                <w:sz w:val="22"/>
                <w:szCs w:val="22"/>
              </w:rPr>
              <w:t>5</w:t>
            </w:r>
            <w:r w:rsidR="00BC577A">
              <w:rPr>
                <w:rFonts w:cstheme="minorHAnsi"/>
                <w:sz w:val="22"/>
                <w:szCs w:val="22"/>
              </w:rPr>
              <w:t>/20</w:t>
            </w:r>
            <w:r w:rsidR="000E1065">
              <w:rPr>
                <w:rFonts w:cstheme="minorHAnsi"/>
                <w:sz w:val="22"/>
                <w:szCs w:val="22"/>
              </w:rPr>
              <w:t>2</w:t>
            </w:r>
            <w:r w:rsidR="00E12A39">
              <w:rPr>
                <w:rFonts w:cstheme="minorHAnsi"/>
                <w:sz w:val="22"/>
                <w:szCs w:val="22"/>
              </w:rPr>
              <w:t>1</w:t>
            </w:r>
          </w:p>
        </w:tc>
        <w:tc>
          <w:tcPr>
            <w:tcW w:w="2331" w:type="dxa"/>
            <w:gridSpan w:val="2"/>
          </w:tcPr>
          <w:p w14:paraId="6B6FA489" w14:textId="77777777" w:rsidR="00017C28" w:rsidRPr="0068185E" w:rsidRDefault="00017C28" w:rsidP="00C25DFD">
            <w:pPr>
              <w:spacing w:before="120" w:after="120" w:line="276" w:lineRule="auto"/>
              <w:jc w:val="both"/>
              <w:rPr>
                <w:rFonts w:cstheme="minorHAnsi"/>
                <w:b/>
                <w:sz w:val="22"/>
                <w:szCs w:val="22"/>
              </w:rPr>
            </w:pPr>
            <w:r w:rsidRPr="0068185E">
              <w:rPr>
                <w:rFonts w:cstheme="minorHAnsi"/>
                <w:b/>
                <w:sz w:val="22"/>
                <w:szCs w:val="22"/>
              </w:rPr>
              <w:t>Author:</w:t>
            </w:r>
          </w:p>
          <w:p w14:paraId="4A7664B0" w14:textId="0ED3572C" w:rsidR="00F43A5F" w:rsidRPr="0068185E" w:rsidRDefault="00BC577A" w:rsidP="00C25DFD">
            <w:pPr>
              <w:spacing w:before="120" w:after="120" w:line="276" w:lineRule="auto"/>
              <w:jc w:val="both"/>
              <w:rPr>
                <w:rFonts w:cstheme="minorHAnsi"/>
                <w:sz w:val="22"/>
                <w:szCs w:val="22"/>
              </w:rPr>
            </w:pPr>
            <w:r>
              <w:rPr>
                <w:rFonts w:cstheme="minorHAnsi"/>
                <w:sz w:val="22"/>
                <w:szCs w:val="22"/>
              </w:rPr>
              <w:t>Josu Aurrekoetxea</w:t>
            </w:r>
          </w:p>
        </w:tc>
        <w:tc>
          <w:tcPr>
            <w:tcW w:w="2331" w:type="dxa"/>
          </w:tcPr>
          <w:p w14:paraId="5B3DF2DC" w14:textId="77777777" w:rsidR="00017C28" w:rsidRPr="0068185E" w:rsidRDefault="00017C28" w:rsidP="00C25DFD">
            <w:pPr>
              <w:spacing w:before="120" w:after="120" w:line="276" w:lineRule="auto"/>
              <w:jc w:val="both"/>
              <w:rPr>
                <w:rFonts w:cstheme="minorHAnsi"/>
                <w:b/>
                <w:sz w:val="22"/>
                <w:szCs w:val="22"/>
              </w:rPr>
            </w:pPr>
            <w:r w:rsidRPr="0068185E">
              <w:rPr>
                <w:rFonts w:cstheme="minorHAnsi"/>
                <w:b/>
                <w:sz w:val="22"/>
                <w:szCs w:val="22"/>
              </w:rPr>
              <w:t>Checked:</w:t>
            </w:r>
          </w:p>
          <w:p w14:paraId="7AC0C514" w14:textId="32F77EDB" w:rsidR="00F43A5F" w:rsidRPr="0068185E" w:rsidRDefault="00DC6D17" w:rsidP="00C25DFD">
            <w:pPr>
              <w:spacing w:before="120" w:after="120" w:line="276" w:lineRule="auto"/>
              <w:jc w:val="both"/>
              <w:rPr>
                <w:rFonts w:cstheme="minorHAnsi"/>
                <w:sz w:val="22"/>
                <w:szCs w:val="22"/>
              </w:rPr>
            </w:pPr>
            <w:r>
              <w:rPr>
                <w:rFonts w:cstheme="minorHAnsi"/>
                <w:sz w:val="22"/>
                <w:szCs w:val="22"/>
              </w:rPr>
              <w:t>Tom Naughton</w:t>
            </w:r>
          </w:p>
        </w:tc>
      </w:tr>
    </w:tbl>
    <w:p w14:paraId="037C94D1" w14:textId="7D801694" w:rsidR="00A75691" w:rsidRPr="0068185E" w:rsidRDefault="00F43A5F">
      <w:pPr>
        <w:pStyle w:val="Heading1"/>
        <w:rPr>
          <w:rFonts w:asciiTheme="minorHAnsi" w:hAnsiTheme="minorHAnsi" w:cstheme="minorHAnsi"/>
          <w:b w:val="0"/>
          <w:bCs/>
          <w:szCs w:val="22"/>
        </w:rPr>
      </w:pPr>
      <w:bookmarkStart w:id="0" w:name="_Toc514342241"/>
      <w:r w:rsidRPr="0068185E">
        <w:rPr>
          <w:rFonts w:asciiTheme="minorHAnsi" w:hAnsiTheme="minorHAnsi" w:cstheme="minorHAnsi"/>
          <w:bCs/>
          <w:szCs w:val="22"/>
        </w:rPr>
        <w:t>Introduction</w:t>
      </w:r>
      <w:bookmarkEnd w:id="0"/>
    </w:p>
    <w:p w14:paraId="0D41BE8D" w14:textId="14C8E11A" w:rsidR="00FF6135" w:rsidRPr="0068185E" w:rsidRDefault="00D04900">
      <w:pPr>
        <w:spacing w:before="240" w:after="120"/>
        <w:jc w:val="both"/>
        <w:rPr>
          <w:lang w:val="en-GB"/>
        </w:rPr>
      </w:pPr>
      <w:r>
        <w:rPr>
          <w:lang w:val="en-GB"/>
        </w:rPr>
        <w:t xml:space="preserve">There is a wide range </w:t>
      </w:r>
      <w:r w:rsidR="000109C2">
        <w:rPr>
          <w:lang w:val="en-GB"/>
        </w:rPr>
        <w:t xml:space="preserve">of </w:t>
      </w:r>
      <w:r w:rsidR="00FF6135">
        <w:rPr>
          <w:lang w:val="en-GB"/>
        </w:rPr>
        <w:t xml:space="preserve">Communal </w:t>
      </w:r>
      <w:r w:rsidR="00FC587B">
        <w:rPr>
          <w:lang w:val="en-GB"/>
        </w:rPr>
        <w:t>Heating Networks (</w:t>
      </w:r>
      <w:r w:rsidR="00FF6135">
        <w:rPr>
          <w:lang w:val="en-GB"/>
        </w:rPr>
        <w:t>CHN</w:t>
      </w:r>
      <w:r w:rsidR="00FC587B">
        <w:rPr>
          <w:lang w:val="en-GB"/>
        </w:rPr>
        <w:t>)</w:t>
      </w:r>
      <w:r w:rsidR="008979A0">
        <w:rPr>
          <w:lang w:val="en-GB"/>
        </w:rPr>
        <w:t xml:space="preserve"> in the UK</w:t>
      </w:r>
      <w:r w:rsidR="000109C2">
        <w:rPr>
          <w:lang w:val="en-GB"/>
        </w:rPr>
        <w:t xml:space="preserve"> with very different characteristics </w:t>
      </w:r>
      <w:r w:rsidR="00AD78AE">
        <w:rPr>
          <w:lang w:val="en-GB"/>
        </w:rPr>
        <w:t xml:space="preserve">depending on the </w:t>
      </w:r>
      <w:r w:rsidR="006E14C8">
        <w:rPr>
          <w:lang w:val="en-GB"/>
        </w:rPr>
        <w:t xml:space="preserve">specific </w:t>
      </w:r>
      <w:r w:rsidR="008979A0">
        <w:rPr>
          <w:lang w:val="en-GB"/>
        </w:rPr>
        <w:t>site</w:t>
      </w:r>
      <w:r w:rsidR="006E14C8">
        <w:rPr>
          <w:lang w:val="en-GB"/>
        </w:rPr>
        <w:t xml:space="preserve"> </w:t>
      </w:r>
      <w:r w:rsidR="00FC587B">
        <w:rPr>
          <w:lang w:val="en-GB"/>
        </w:rPr>
        <w:t>requirements and the</w:t>
      </w:r>
      <w:r w:rsidR="008979A0">
        <w:rPr>
          <w:lang w:val="en-GB"/>
        </w:rPr>
        <w:t xml:space="preserve"> selected</w:t>
      </w:r>
      <w:r w:rsidR="00FC587B">
        <w:rPr>
          <w:lang w:val="en-GB"/>
        </w:rPr>
        <w:t xml:space="preserve"> design parameters.</w:t>
      </w:r>
      <w:r w:rsidR="008979A0">
        <w:rPr>
          <w:lang w:val="en-GB"/>
        </w:rPr>
        <w:t xml:space="preserve"> </w:t>
      </w:r>
    </w:p>
    <w:p w14:paraId="61F325CB" w14:textId="370347BE" w:rsidR="0049084F" w:rsidRPr="0049084F" w:rsidRDefault="0049084F">
      <w:pPr>
        <w:spacing w:before="240" w:after="120"/>
        <w:jc w:val="both"/>
        <w:rPr>
          <w:lang w:val="en-GB"/>
        </w:rPr>
      </w:pPr>
      <w:r>
        <w:rPr>
          <w:lang w:val="en-GB"/>
        </w:rPr>
        <w:t xml:space="preserve">The Technical </w:t>
      </w:r>
      <w:r w:rsidR="003F45CA">
        <w:rPr>
          <w:lang w:val="en-GB"/>
        </w:rPr>
        <w:t>subcommittee agreed</w:t>
      </w:r>
      <w:r w:rsidR="00BD09F4">
        <w:rPr>
          <w:lang w:val="en-GB"/>
        </w:rPr>
        <w:t xml:space="preserve"> </w:t>
      </w:r>
      <w:r w:rsidRPr="0049084F">
        <w:rPr>
          <w:lang w:val="en-GB"/>
        </w:rPr>
        <w:t xml:space="preserve">that </w:t>
      </w:r>
      <w:r w:rsidR="006909A2">
        <w:rPr>
          <w:lang w:val="en-GB"/>
        </w:rPr>
        <w:t>two</w:t>
      </w:r>
      <w:r w:rsidR="006909A2" w:rsidRPr="0049084F">
        <w:rPr>
          <w:lang w:val="en-GB"/>
        </w:rPr>
        <w:t xml:space="preserve"> </w:t>
      </w:r>
      <w:r w:rsidRPr="0049084F">
        <w:rPr>
          <w:lang w:val="en-GB"/>
        </w:rPr>
        <w:t>reference system</w:t>
      </w:r>
      <w:r w:rsidR="006909A2">
        <w:rPr>
          <w:lang w:val="en-GB"/>
        </w:rPr>
        <w:t>s</w:t>
      </w:r>
      <w:r w:rsidRPr="0049084F">
        <w:rPr>
          <w:lang w:val="en-GB"/>
        </w:rPr>
        <w:t xml:space="preserve"> (dwelling and </w:t>
      </w:r>
      <w:r w:rsidR="00BD09F4" w:rsidRPr="0049084F">
        <w:rPr>
          <w:lang w:val="en-GB"/>
        </w:rPr>
        <w:t>buildings</w:t>
      </w:r>
      <w:r w:rsidRPr="0049084F">
        <w:rPr>
          <w:lang w:val="en-GB"/>
        </w:rPr>
        <w:t>) should be developed, with</w:t>
      </w:r>
      <w:r w:rsidR="001F4FA4">
        <w:rPr>
          <w:lang w:val="en-GB"/>
        </w:rPr>
        <w:t xml:space="preserve"> </w:t>
      </w:r>
      <w:r w:rsidR="006909A2">
        <w:rPr>
          <w:lang w:val="en-GB"/>
        </w:rPr>
        <w:t xml:space="preserve">their </w:t>
      </w:r>
      <w:r w:rsidR="001F4FA4">
        <w:rPr>
          <w:lang w:val="en-GB"/>
        </w:rPr>
        <w:t>corresponding</w:t>
      </w:r>
      <w:r w:rsidR="00135B74">
        <w:rPr>
          <w:lang w:val="en-GB"/>
        </w:rPr>
        <w:t xml:space="preserve"> size and characteristic</w:t>
      </w:r>
      <w:r w:rsidRPr="0049084F">
        <w:rPr>
          <w:lang w:val="en-GB"/>
        </w:rPr>
        <w:t xml:space="preserve"> parameters </w:t>
      </w:r>
      <w:r w:rsidR="00135B74">
        <w:rPr>
          <w:lang w:val="en-GB"/>
        </w:rPr>
        <w:t>well defined</w:t>
      </w:r>
      <w:r w:rsidRPr="0049084F">
        <w:rPr>
          <w:lang w:val="en-GB"/>
        </w:rPr>
        <w:t xml:space="preserve">, as part of the test regime. </w:t>
      </w:r>
    </w:p>
    <w:p w14:paraId="364E9916" w14:textId="3D7E3DAA" w:rsidR="00FF6135" w:rsidRDefault="006909A2">
      <w:pPr>
        <w:spacing w:before="240" w:after="120"/>
        <w:jc w:val="both"/>
        <w:rPr>
          <w:lang w:val="en-GB"/>
        </w:rPr>
      </w:pPr>
      <w:r w:rsidRPr="0049084F">
        <w:rPr>
          <w:lang w:val="en-GB"/>
        </w:rPr>
        <w:t>Th</w:t>
      </w:r>
      <w:r>
        <w:rPr>
          <w:lang w:val="en-GB"/>
        </w:rPr>
        <w:t>ese</w:t>
      </w:r>
      <w:r w:rsidRPr="0049084F">
        <w:rPr>
          <w:lang w:val="en-GB"/>
        </w:rPr>
        <w:t xml:space="preserve"> </w:t>
      </w:r>
      <w:r w:rsidR="0049084F" w:rsidRPr="0049084F">
        <w:rPr>
          <w:lang w:val="en-GB"/>
        </w:rPr>
        <w:t>reference system</w:t>
      </w:r>
      <w:r>
        <w:rPr>
          <w:lang w:val="en-GB"/>
        </w:rPr>
        <w:t>s</w:t>
      </w:r>
      <w:r w:rsidR="0049084F" w:rsidRPr="0049084F">
        <w:rPr>
          <w:lang w:val="en-GB"/>
        </w:rPr>
        <w:t xml:space="preserve"> w</w:t>
      </w:r>
      <w:r w:rsidR="008F267C">
        <w:rPr>
          <w:lang w:val="en-GB"/>
        </w:rPr>
        <w:t>ill</w:t>
      </w:r>
      <w:r w:rsidR="00A74D30">
        <w:rPr>
          <w:lang w:val="en-GB"/>
        </w:rPr>
        <w:t xml:space="preserve"> be used as a benchmark to compare the </w:t>
      </w:r>
      <w:r w:rsidR="002E3E5D">
        <w:rPr>
          <w:lang w:val="en-GB"/>
        </w:rPr>
        <w:t>impact</w:t>
      </w:r>
      <w:r w:rsidR="00956D56">
        <w:rPr>
          <w:lang w:val="en-GB"/>
        </w:rPr>
        <w:t xml:space="preserve"> </w:t>
      </w:r>
      <w:r w:rsidR="002E3E5D">
        <w:rPr>
          <w:lang w:val="en-GB"/>
        </w:rPr>
        <w:t xml:space="preserve">of the selection of different HIUs on the same </w:t>
      </w:r>
      <w:r w:rsidR="00FF6135">
        <w:rPr>
          <w:lang w:val="en-GB"/>
        </w:rPr>
        <w:t>CHN</w:t>
      </w:r>
      <w:r w:rsidR="008F267C">
        <w:rPr>
          <w:lang w:val="en-GB"/>
        </w:rPr>
        <w:t>.</w:t>
      </w:r>
      <w:r w:rsidR="003F45CA">
        <w:rPr>
          <w:lang w:val="en-GB"/>
        </w:rPr>
        <w:t xml:space="preserve"> This technical note will present a proposal agreed by </w:t>
      </w:r>
      <w:r w:rsidR="00F54AB9">
        <w:rPr>
          <w:lang w:val="en-GB"/>
        </w:rPr>
        <w:t>Tom Naughton and Josu Aurrekoetxea</w:t>
      </w:r>
      <w:r w:rsidR="00BD7ACF">
        <w:rPr>
          <w:lang w:val="en-GB"/>
        </w:rPr>
        <w:t>. The design of the system</w:t>
      </w:r>
      <w:r w:rsidR="00C02CA6">
        <w:rPr>
          <w:lang w:val="en-GB"/>
        </w:rPr>
        <w:t xml:space="preserve"> follows C</w:t>
      </w:r>
      <w:r w:rsidR="00793EB8">
        <w:rPr>
          <w:lang w:val="en-GB"/>
        </w:rPr>
        <w:t>IBSE</w:t>
      </w:r>
      <w:r w:rsidR="00C02CA6">
        <w:rPr>
          <w:lang w:val="en-GB"/>
        </w:rPr>
        <w:t xml:space="preserve"> CP1 2020 guidelines and </w:t>
      </w:r>
      <w:r w:rsidR="00032FAE">
        <w:rPr>
          <w:lang w:val="en-GB"/>
        </w:rPr>
        <w:t>does not necessarily represent the opinion of the authors</w:t>
      </w:r>
    </w:p>
    <w:p w14:paraId="35ABF5CC" w14:textId="20294347" w:rsidR="00A02FF2" w:rsidRDefault="00FF6135">
      <w:pPr>
        <w:spacing w:before="240" w:after="120"/>
        <w:jc w:val="both"/>
        <w:rPr>
          <w:lang w:val="en-GB"/>
        </w:rPr>
      </w:pPr>
      <w:r>
        <w:rPr>
          <w:lang w:val="en-GB"/>
        </w:rPr>
        <w:t>It should be noted that due to the disparity of the CHN it is not possible to produce a generalised model that predicts the actual effect of an HIU on any given CHN.</w:t>
      </w:r>
    </w:p>
    <w:p w14:paraId="3A5C21DC" w14:textId="7F7E3B46" w:rsidR="00A75691" w:rsidRPr="0068185E" w:rsidRDefault="00FF6135">
      <w:pPr>
        <w:pStyle w:val="Heading1"/>
        <w:rPr>
          <w:rFonts w:asciiTheme="minorHAnsi" w:hAnsiTheme="minorHAnsi" w:cstheme="minorHAnsi"/>
          <w:b w:val="0"/>
          <w:bCs/>
          <w:szCs w:val="22"/>
        </w:rPr>
      </w:pPr>
      <w:bookmarkStart w:id="1" w:name="_Toc514342246"/>
      <w:r w:rsidRPr="00AB1482">
        <w:rPr>
          <w:rFonts w:asciiTheme="minorHAnsi" w:hAnsiTheme="minorHAnsi" w:cstheme="minorHAnsi"/>
          <w:bCs/>
          <w:szCs w:val="22"/>
        </w:rPr>
        <w:t>Heat network layout</w:t>
      </w:r>
    </w:p>
    <w:bookmarkEnd w:id="1"/>
    <w:p w14:paraId="54865567" w14:textId="11B9FC37" w:rsidR="00CC34E0" w:rsidRDefault="00770DB3">
      <w:pPr>
        <w:spacing w:before="240" w:after="120"/>
        <w:jc w:val="both"/>
        <w:rPr>
          <w:rFonts w:cstheme="minorHAnsi"/>
        </w:rPr>
      </w:pPr>
      <w:r>
        <w:rPr>
          <w:rFonts w:cstheme="minorHAnsi"/>
        </w:rPr>
        <w:t xml:space="preserve">The </w:t>
      </w:r>
      <w:r w:rsidR="00FF6135">
        <w:rPr>
          <w:rFonts w:cstheme="minorHAnsi"/>
        </w:rPr>
        <w:t xml:space="preserve">CHN </w:t>
      </w:r>
      <w:r>
        <w:rPr>
          <w:rFonts w:cstheme="minorHAnsi"/>
        </w:rPr>
        <w:t xml:space="preserve">type considered as a reference </w:t>
      </w:r>
      <w:r w:rsidR="000559AF">
        <w:rPr>
          <w:rFonts w:cstheme="minorHAnsi"/>
        </w:rPr>
        <w:t>system</w:t>
      </w:r>
      <w:r>
        <w:rPr>
          <w:rFonts w:cstheme="minorHAnsi"/>
        </w:rPr>
        <w:t xml:space="preserve"> will be based on </w:t>
      </w:r>
      <w:r w:rsidR="00FF6135">
        <w:rPr>
          <w:rFonts w:cstheme="minorHAnsi"/>
        </w:rPr>
        <w:t xml:space="preserve">a </w:t>
      </w:r>
      <w:r w:rsidR="006526DE">
        <w:rPr>
          <w:rFonts w:cstheme="minorHAnsi"/>
        </w:rPr>
        <w:t>typical</w:t>
      </w:r>
      <w:r w:rsidR="0065362A">
        <w:rPr>
          <w:rFonts w:cstheme="minorHAnsi"/>
        </w:rPr>
        <w:t xml:space="preserve"> </w:t>
      </w:r>
      <w:r w:rsidR="00B96337">
        <w:rPr>
          <w:rFonts w:cstheme="minorHAnsi"/>
        </w:rPr>
        <w:t xml:space="preserve">new built </w:t>
      </w:r>
      <w:r w:rsidR="0065362A">
        <w:rPr>
          <w:rFonts w:cstheme="minorHAnsi"/>
        </w:rPr>
        <w:t>London area multi</w:t>
      </w:r>
      <w:r w:rsidR="00BD09F4">
        <w:rPr>
          <w:rFonts w:cstheme="minorHAnsi"/>
        </w:rPr>
        <w:t>-</w:t>
      </w:r>
      <w:r w:rsidR="0065362A">
        <w:rPr>
          <w:rFonts w:cstheme="minorHAnsi"/>
        </w:rPr>
        <w:t>residential</w:t>
      </w:r>
      <w:r w:rsidR="00C32D0F">
        <w:rPr>
          <w:rFonts w:cstheme="minorHAnsi"/>
        </w:rPr>
        <w:t xml:space="preserve"> </w:t>
      </w:r>
      <w:r w:rsidR="006526DE">
        <w:rPr>
          <w:rFonts w:cstheme="minorHAnsi"/>
        </w:rPr>
        <w:t>development</w:t>
      </w:r>
      <w:r w:rsidR="00FF6135">
        <w:rPr>
          <w:rFonts w:cstheme="minorHAnsi"/>
        </w:rPr>
        <w:t xml:space="preserve"> as the majority of </w:t>
      </w:r>
      <w:r w:rsidR="006110BD">
        <w:rPr>
          <w:rFonts w:cstheme="minorHAnsi"/>
        </w:rPr>
        <w:t xml:space="preserve">HIUs installed in the UK are installed in this type of </w:t>
      </w:r>
      <w:r w:rsidR="008D51FD">
        <w:rPr>
          <w:rFonts w:cstheme="minorHAnsi"/>
        </w:rPr>
        <w:t>development</w:t>
      </w:r>
      <w:r w:rsidR="006110BD">
        <w:rPr>
          <w:rFonts w:cstheme="minorHAnsi"/>
        </w:rPr>
        <w:t>.</w:t>
      </w:r>
    </w:p>
    <w:p w14:paraId="3B15CE87" w14:textId="406BB802" w:rsidR="00B568EF" w:rsidRDefault="009E7C1C">
      <w:pPr>
        <w:spacing w:before="240" w:after="120"/>
        <w:jc w:val="both"/>
        <w:rPr>
          <w:rFonts w:cstheme="minorHAnsi"/>
        </w:rPr>
      </w:pPr>
      <w:r>
        <w:rPr>
          <w:rFonts w:cstheme="minorHAnsi"/>
        </w:rPr>
        <w:t xml:space="preserve">There are many </w:t>
      </w:r>
      <w:proofErr w:type="gramStart"/>
      <w:r w:rsidR="00422912">
        <w:rPr>
          <w:rFonts w:cstheme="minorHAnsi"/>
        </w:rPr>
        <w:t>different sizes</w:t>
      </w:r>
      <w:proofErr w:type="gramEnd"/>
      <w:r w:rsidR="00422912">
        <w:rPr>
          <w:rFonts w:cstheme="minorHAnsi"/>
        </w:rPr>
        <w:t>, shapes</w:t>
      </w:r>
      <w:r w:rsidR="000672FA">
        <w:rPr>
          <w:rFonts w:cstheme="minorHAnsi"/>
        </w:rPr>
        <w:t xml:space="preserve"> and technical variables in </w:t>
      </w:r>
      <w:r w:rsidR="00FF6135">
        <w:rPr>
          <w:rFonts w:cstheme="minorHAnsi"/>
        </w:rPr>
        <w:t xml:space="preserve">CHN </w:t>
      </w:r>
      <w:r w:rsidR="000672FA">
        <w:rPr>
          <w:rFonts w:cstheme="minorHAnsi"/>
        </w:rPr>
        <w:t>developments</w:t>
      </w:r>
      <w:r w:rsidR="00E47965">
        <w:rPr>
          <w:rFonts w:cstheme="minorHAnsi"/>
        </w:rPr>
        <w:t xml:space="preserve"> and therefore, this reference system won’t necessarily represent all new build developments. The </w:t>
      </w:r>
      <w:r w:rsidR="00F565E6">
        <w:rPr>
          <w:rFonts w:cstheme="minorHAnsi"/>
        </w:rPr>
        <w:t xml:space="preserve">goal of the system is to allow </w:t>
      </w:r>
      <w:r w:rsidR="00FF6135">
        <w:rPr>
          <w:rFonts w:cstheme="minorHAnsi"/>
        </w:rPr>
        <w:t xml:space="preserve">the comparison of </w:t>
      </w:r>
      <w:r w:rsidR="00F565E6">
        <w:rPr>
          <w:rFonts w:cstheme="minorHAnsi"/>
        </w:rPr>
        <w:t xml:space="preserve">different HIUs </w:t>
      </w:r>
      <w:r w:rsidR="00FF6135">
        <w:rPr>
          <w:rFonts w:cstheme="minorHAnsi"/>
        </w:rPr>
        <w:t>with</w:t>
      </w:r>
      <w:r w:rsidR="00F565E6">
        <w:rPr>
          <w:rFonts w:cstheme="minorHAnsi"/>
        </w:rPr>
        <w:t>in the same system</w:t>
      </w:r>
      <w:r w:rsidR="00FF6135">
        <w:rPr>
          <w:rFonts w:cstheme="minorHAnsi"/>
        </w:rPr>
        <w:t xml:space="preserve"> context</w:t>
      </w:r>
      <w:r w:rsidR="00F565E6">
        <w:rPr>
          <w:rFonts w:cstheme="minorHAnsi"/>
        </w:rPr>
        <w:t>.</w:t>
      </w:r>
      <w:r w:rsidR="00B66E2B">
        <w:rPr>
          <w:rFonts w:cstheme="minorHAnsi"/>
        </w:rPr>
        <w:t xml:space="preserve"> For this </w:t>
      </w:r>
      <w:r w:rsidR="00FD5945">
        <w:rPr>
          <w:rFonts w:cstheme="minorHAnsi"/>
        </w:rPr>
        <w:t>reason,</w:t>
      </w:r>
      <w:r w:rsidR="00B66E2B">
        <w:rPr>
          <w:rFonts w:cstheme="minorHAnsi"/>
        </w:rPr>
        <w:t xml:space="preserve"> a series of </w:t>
      </w:r>
      <w:r w:rsidR="001B61C4">
        <w:rPr>
          <w:rFonts w:cstheme="minorHAnsi"/>
        </w:rPr>
        <w:t xml:space="preserve">arbitrary decisions have been </w:t>
      </w:r>
      <w:r w:rsidR="0062309D">
        <w:rPr>
          <w:rFonts w:cstheme="minorHAnsi"/>
        </w:rPr>
        <w:t xml:space="preserve">taken to </w:t>
      </w:r>
      <w:r w:rsidR="000A1F7A">
        <w:rPr>
          <w:rFonts w:cstheme="minorHAnsi"/>
        </w:rPr>
        <w:t>define the building:</w:t>
      </w:r>
    </w:p>
    <w:p w14:paraId="2F3F4AA9" w14:textId="2C9F0302" w:rsidR="00992392" w:rsidRPr="006909A2" w:rsidRDefault="000A1F7A">
      <w:pPr>
        <w:spacing w:before="240" w:after="120"/>
        <w:jc w:val="both"/>
        <w:rPr>
          <w:rFonts w:cstheme="minorHAnsi"/>
        </w:rPr>
      </w:pPr>
      <w:r>
        <w:rPr>
          <w:rFonts w:cstheme="minorHAnsi"/>
        </w:rPr>
        <w:t xml:space="preserve">The </w:t>
      </w:r>
      <w:r w:rsidR="00FF6135">
        <w:rPr>
          <w:rFonts w:cstheme="minorHAnsi"/>
        </w:rPr>
        <w:t xml:space="preserve">CHN </w:t>
      </w:r>
      <w:r w:rsidR="00F75036">
        <w:rPr>
          <w:rFonts w:cstheme="minorHAnsi"/>
        </w:rPr>
        <w:t>starts in a plantroom that could be either a</w:t>
      </w:r>
      <w:r w:rsidR="009A2B27">
        <w:rPr>
          <w:rFonts w:cstheme="minorHAnsi"/>
        </w:rPr>
        <w:t>n</w:t>
      </w:r>
      <w:r w:rsidR="00F75036">
        <w:rPr>
          <w:rFonts w:cstheme="minorHAnsi"/>
        </w:rPr>
        <w:t xml:space="preserve"> Energy Centre or</w:t>
      </w:r>
      <w:r w:rsidR="00BA1C44">
        <w:rPr>
          <w:rFonts w:cstheme="minorHAnsi"/>
        </w:rPr>
        <w:t xml:space="preserve"> a substation connected to a bigger </w:t>
      </w:r>
      <w:r w:rsidR="00FF6135">
        <w:rPr>
          <w:rFonts w:cstheme="minorHAnsi"/>
        </w:rPr>
        <w:t>district heating network</w:t>
      </w:r>
      <w:r w:rsidR="00BA1C44">
        <w:rPr>
          <w:rFonts w:cstheme="minorHAnsi"/>
        </w:rPr>
        <w:t>. The</w:t>
      </w:r>
      <w:r w:rsidR="008F669D">
        <w:rPr>
          <w:rFonts w:cstheme="minorHAnsi"/>
        </w:rPr>
        <w:t xml:space="preserve">re will be a distribution circuit </w:t>
      </w:r>
      <w:r w:rsidR="005F6C64">
        <w:rPr>
          <w:rFonts w:cstheme="minorHAnsi"/>
        </w:rPr>
        <w:t xml:space="preserve">at ground floor </w:t>
      </w:r>
      <w:r w:rsidR="00F22920">
        <w:rPr>
          <w:rFonts w:cstheme="minorHAnsi"/>
        </w:rPr>
        <w:t>through</w:t>
      </w:r>
      <w:r w:rsidR="005F6C64">
        <w:rPr>
          <w:rFonts w:cstheme="minorHAnsi"/>
        </w:rPr>
        <w:t xml:space="preserve"> a car park</w:t>
      </w:r>
      <w:r w:rsidR="00F22920">
        <w:rPr>
          <w:rFonts w:cstheme="minorHAnsi"/>
        </w:rPr>
        <w:t xml:space="preserve"> reaching </w:t>
      </w:r>
      <w:r w:rsidR="00F22920" w:rsidRPr="006909A2">
        <w:rPr>
          <w:rFonts w:cstheme="minorHAnsi"/>
        </w:rPr>
        <w:t xml:space="preserve">the different cores of the development. </w:t>
      </w:r>
      <w:r w:rsidR="005A25BB" w:rsidRPr="006909A2">
        <w:rPr>
          <w:rFonts w:cstheme="minorHAnsi"/>
        </w:rPr>
        <w:t xml:space="preserve">There will be 2 </w:t>
      </w:r>
      <w:r w:rsidR="001B4F61" w:rsidRPr="006909A2">
        <w:rPr>
          <w:rFonts w:cstheme="minorHAnsi"/>
        </w:rPr>
        <w:t xml:space="preserve">different cases from </w:t>
      </w:r>
      <w:r w:rsidR="00334659" w:rsidRPr="006909A2">
        <w:rPr>
          <w:rFonts w:cstheme="minorHAnsi"/>
        </w:rPr>
        <w:t xml:space="preserve">car park distribution. </w:t>
      </w:r>
    </w:p>
    <w:p w14:paraId="6D2C50F2" w14:textId="6B43304D" w:rsidR="001B4F61" w:rsidRPr="00AB1482" w:rsidRDefault="00334659">
      <w:pPr>
        <w:pStyle w:val="ListParagraph"/>
        <w:numPr>
          <w:ilvl w:val="0"/>
          <w:numId w:val="2"/>
        </w:numPr>
        <w:spacing w:before="240" w:after="120"/>
        <w:jc w:val="both"/>
        <w:rPr>
          <w:rFonts w:asciiTheme="minorHAnsi" w:hAnsiTheme="minorHAnsi" w:cstheme="minorHAnsi"/>
          <w:sz w:val="22"/>
          <w:szCs w:val="22"/>
        </w:rPr>
      </w:pPr>
      <w:r w:rsidRPr="00AB1482">
        <w:rPr>
          <w:rFonts w:asciiTheme="minorHAnsi" w:hAnsiTheme="minorHAnsi" w:cstheme="minorHAnsi"/>
          <w:sz w:val="22"/>
          <w:szCs w:val="22"/>
        </w:rPr>
        <w:lastRenderedPageBreak/>
        <w:t xml:space="preserve">The first </w:t>
      </w:r>
      <w:r w:rsidR="00992392" w:rsidRPr="00AB1482">
        <w:rPr>
          <w:rFonts w:asciiTheme="minorHAnsi" w:hAnsiTheme="minorHAnsi" w:cstheme="minorHAnsi"/>
          <w:sz w:val="22"/>
          <w:szCs w:val="22"/>
        </w:rPr>
        <w:t>case will have on</w:t>
      </w:r>
      <w:r w:rsidR="00FF6135" w:rsidRPr="00AB1482">
        <w:rPr>
          <w:rFonts w:asciiTheme="minorHAnsi" w:hAnsiTheme="minorHAnsi" w:cstheme="minorHAnsi"/>
          <w:sz w:val="22"/>
          <w:szCs w:val="22"/>
        </w:rPr>
        <w:t>e</w:t>
      </w:r>
      <w:r w:rsidR="00992392" w:rsidRPr="00AB1482">
        <w:rPr>
          <w:rFonts w:asciiTheme="minorHAnsi" w:hAnsiTheme="minorHAnsi" w:cstheme="minorHAnsi"/>
          <w:sz w:val="22"/>
          <w:szCs w:val="22"/>
        </w:rPr>
        <w:t xml:space="preserve"> riser per core with corridor distribution to all the apartment. This is currently the most common solution in most </w:t>
      </w:r>
      <w:r w:rsidR="00A95265" w:rsidRPr="00AB1482">
        <w:rPr>
          <w:rFonts w:asciiTheme="minorHAnsi" w:hAnsiTheme="minorHAnsi" w:cstheme="minorHAnsi"/>
          <w:sz w:val="22"/>
          <w:szCs w:val="22"/>
        </w:rPr>
        <w:t xml:space="preserve">existing </w:t>
      </w:r>
      <w:r w:rsidR="00992392" w:rsidRPr="00AB1482">
        <w:rPr>
          <w:rFonts w:asciiTheme="minorHAnsi" w:hAnsiTheme="minorHAnsi" w:cstheme="minorHAnsi"/>
          <w:sz w:val="22"/>
          <w:szCs w:val="22"/>
        </w:rPr>
        <w:t>developments.</w:t>
      </w:r>
    </w:p>
    <w:p w14:paraId="3CF2A33F" w14:textId="30471742" w:rsidR="00992392" w:rsidRPr="00AB1482" w:rsidRDefault="005C732C">
      <w:pPr>
        <w:pStyle w:val="ListParagraph"/>
        <w:numPr>
          <w:ilvl w:val="0"/>
          <w:numId w:val="2"/>
        </w:numPr>
        <w:spacing w:before="240" w:after="120"/>
        <w:jc w:val="both"/>
        <w:rPr>
          <w:rFonts w:asciiTheme="minorHAnsi" w:hAnsiTheme="minorHAnsi" w:cstheme="minorHAnsi"/>
          <w:sz w:val="22"/>
          <w:szCs w:val="22"/>
        </w:rPr>
      </w:pPr>
      <w:r>
        <w:rPr>
          <w:rFonts w:asciiTheme="minorHAnsi" w:hAnsiTheme="minorHAnsi" w:cstheme="minorHAnsi"/>
          <w:sz w:val="22"/>
          <w:szCs w:val="22"/>
        </w:rPr>
        <w:t>The second case will have a m</w:t>
      </w:r>
      <w:r w:rsidR="00992392" w:rsidRPr="00AB1482">
        <w:rPr>
          <w:rFonts w:asciiTheme="minorHAnsi" w:hAnsiTheme="minorHAnsi" w:cstheme="minorHAnsi"/>
          <w:sz w:val="22"/>
          <w:szCs w:val="22"/>
        </w:rPr>
        <w:t>ulti</w:t>
      </w:r>
      <w:r w:rsidR="00BD09F4" w:rsidRPr="00AB1482">
        <w:rPr>
          <w:rFonts w:asciiTheme="minorHAnsi" w:hAnsiTheme="minorHAnsi" w:cstheme="minorHAnsi"/>
          <w:sz w:val="22"/>
          <w:szCs w:val="22"/>
        </w:rPr>
        <w:t>-</w:t>
      </w:r>
      <w:r w:rsidR="00992392" w:rsidRPr="00AB1482">
        <w:rPr>
          <w:rFonts w:asciiTheme="minorHAnsi" w:hAnsiTheme="minorHAnsi" w:cstheme="minorHAnsi"/>
          <w:sz w:val="22"/>
          <w:szCs w:val="22"/>
        </w:rPr>
        <w:t xml:space="preserve">riser solution with the HIUs installed outside the apartment next to the riser. This solution reduces the amount of pipe and it is an example of the most efficient distribution solution. </w:t>
      </w:r>
    </w:p>
    <w:p w14:paraId="0EA6C029" w14:textId="05FBC0C8" w:rsidR="00A75691" w:rsidRDefault="00CC34E0">
      <w:pPr>
        <w:spacing w:before="240" w:after="120"/>
        <w:jc w:val="both"/>
        <w:rPr>
          <w:rFonts w:cstheme="minorHAnsi"/>
        </w:rPr>
      </w:pPr>
      <w:r w:rsidRPr="006909A2">
        <w:rPr>
          <w:rFonts w:cstheme="minorHAnsi"/>
        </w:rPr>
        <w:t>Old building r</w:t>
      </w:r>
      <w:r w:rsidR="00C3052B" w:rsidRPr="006909A2">
        <w:rPr>
          <w:rFonts w:cstheme="minorHAnsi"/>
        </w:rPr>
        <w:t>etrofit systems are not represented</w:t>
      </w:r>
      <w:r w:rsidR="00C3052B">
        <w:rPr>
          <w:rFonts w:cstheme="minorHAnsi"/>
        </w:rPr>
        <w:t xml:space="preserve"> by this referen</w:t>
      </w:r>
      <w:r w:rsidR="00FD33FA">
        <w:rPr>
          <w:rFonts w:cstheme="minorHAnsi"/>
        </w:rPr>
        <w:t>ce system</w:t>
      </w:r>
      <w:r>
        <w:rPr>
          <w:rFonts w:cstheme="minorHAnsi"/>
        </w:rPr>
        <w:t xml:space="preserve"> because they will </w:t>
      </w:r>
      <w:r w:rsidR="00A95265">
        <w:rPr>
          <w:rFonts w:cstheme="minorHAnsi"/>
        </w:rPr>
        <w:t xml:space="preserve">potentially </w:t>
      </w:r>
      <w:r>
        <w:rPr>
          <w:rFonts w:cstheme="minorHAnsi"/>
        </w:rPr>
        <w:t>have higher demand</w:t>
      </w:r>
      <w:r w:rsidR="0072607D">
        <w:rPr>
          <w:rFonts w:cstheme="minorHAnsi"/>
        </w:rPr>
        <w:t>s and temperatures</w:t>
      </w:r>
      <w:r w:rsidR="00FD33FA">
        <w:rPr>
          <w:rFonts w:cstheme="minorHAnsi"/>
        </w:rPr>
        <w:t>.</w:t>
      </w:r>
    </w:p>
    <w:p w14:paraId="0E271638" w14:textId="49BC4A16" w:rsidR="00DE687E" w:rsidRPr="0068185E" w:rsidRDefault="00F91A49">
      <w:pPr>
        <w:pStyle w:val="Heading1"/>
        <w:rPr>
          <w:rFonts w:asciiTheme="minorHAnsi" w:hAnsiTheme="minorHAnsi" w:cstheme="minorHAnsi"/>
          <w:b w:val="0"/>
          <w:bCs/>
          <w:szCs w:val="22"/>
        </w:rPr>
      </w:pPr>
      <w:r>
        <w:rPr>
          <w:rFonts w:asciiTheme="minorHAnsi" w:hAnsiTheme="minorHAnsi" w:cstheme="minorHAnsi"/>
          <w:bCs/>
          <w:szCs w:val="22"/>
        </w:rPr>
        <w:t>Heat network typology</w:t>
      </w:r>
    </w:p>
    <w:p w14:paraId="09348526" w14:textId="5D00A3E9" w:rsidR="0068185E" w:rsidRDefault="00FF6135">
      <w:pPr>
        <w:spacing w:before="240" w:after="120"/>
        <w:jc w:val="both"/>
        <w:rPr>
          <w:lang w:val="en-GB"/>
        </w:rPr>
      </w:pPr>
      <w:r>
        <w:rPr>
          <w:lang w:val="en-GB"/>
        </w:rPr>
        <w:t>Based on analysis of</w:t>
      </w:r>
      <w:r w:rsidR="006751B3">
        <w:rPr>
          <w:lang w:val="en-GB"/>
        </w:rPr>
        <w:t xml:space="preserve"> </w:t>
      </w:r>
      <w:r w:rsidR="00051BB2">
        <w:rPr>
          <w:lang w:val="en-GB"/>
        </w:rPr>
        <w:t>15</w:t>
      </w:r>
      <w:r w:rsidR="00A1245B">
        <w:rPr>
          <w:lang w:val="en-GB"/>
        </w:rPr>
        <w:t xml:space="preserve"> existing</w:t>
      </w:r>
      <w:r w:rsidR="00051BB2">
        <w:rPr>
          <w:lang w:val="en-GB"/>
        </w:rPr>
        <w:t xml:space="preserve"> </w:t>
      </w:r>
      <w:r w:rsidR="00DB689F">
        <w:rPr>
          <w:lang w:val="en-GB"/>
        </w:rPr>
        <w:t xml:space="preserve">London </w:t>
      </w:r>
      <w:r>
        <w:rPr>
          <w:lang w:val="en-GB"/>
        </w:rPr>
        <w:t>residential heat networks</w:t>
      </w:r>
      <w:r w:rsidR="00A1245B">
        <w:rPr>
          <w:lang w:val="en-GB"/>
        </w:rPr>
        <w:t>,</w:t>
      </w:r>
      <w:r>
        <w:rPr>
          <w:lang w:val="en-GB"/>
        </w:rPr>
        <w:t xml:space="preserve"> </w:t>
      </w:r>
      <w:r w:rsidR="00A1245B">
        <w:rPr>
          <w:lang w:val="en-GB"/>
        </w:rPr>
        <w:t>t</w:t>
      </w:r>
      <w:r w:rsidR="00051BB2">
        <w:rPr>
          <w:lang w:val="en-GB"/>
        </w:rPr>
        <w:t xml:space="preserve">he </w:t>
      </w:r>
      <w:r w:rsidR="00A1245B">
        <w:rPr>
          <w:lang w:val="en-GB"/>
        </w:rPr>
        <w:t xml:space="preserve">mean </w:t>
      </w:r>
      <w:r w:rsidR="00051BB2">
        <w:rPr>
          <w:lang w:val="en-GB"/>
        </w:rPr>
        <w:t xml:space="preserve">average </w:t>
      </w:r>
      <w:r>
        <w:rPr>
          <w:lang w:val="en-GB"/>
        </w:rPr>
        <w:t xml:space="preserve">number </w:t>
      </w:r>
      <w:r w:rsidR="00051BB2">
        <w:rPr>
          <w:lang w:val="en-GB"/>
        </w:rPr>
        <w:t>of apartment</w:t>
      </w:r>
      <w:r>
        <w:rPr>
          <w:lang w:val="en-GB"/>
        </w:rPr>
        <w:t>s</w:t>
      </w:r>
      <w:r w:rsidR="00051BB2">
        <w:rPr>
          <w:lang w:val="en-GB"/>
        </w:rPr>
        <w:t xml:space="preserve"> </w:t>
      </w:r>
      <w:r w:rsidR="00A1245B">
        <w:rPr>
          <w:lang w:val="en-GB"/>
        </w:rPr>
        <w:t>in a London heat network is</w:t>
      </w:r>
      <w:r w:rsidR="00051BB2">
        <w:rPr>
          <w:lang w:val="en-GB"/>
        </w:rPr>
        <w:t xml:space="preserve"> 204</w:t>
      </w:r>
      <w:r w:rsidR="00A1245B">
        <w:rPr>
          <w:lang w:val="en-GB"/>
        </w:rPr>
        <w:t>. Within the building, t</w:t>
      </w:r>
      <w:r w:rsidR="00C849A4">
        <w:rPr>
          <w:lang w:val="en-GB"/>
        </w:rPr>
        <w:t xml:space="preserve">he </w:t>
      </w:r>
      <w:r w:rsidR="00A1245B">
        <w:rPr>
          <w:lang w:val="en-GB"/>
        </w:rPr>
        <w:t xml:space="preserve">mean </w:t>
      </w:r>
      <w:r w:rsidR="00C849A4">
        <w:rPr>
          <w:lang w:val="en-GB"/>
        </w:rPr>
        <w:t xml:space="preserve">average </w:t>
      </w:r>
      <w:r>
        <w:rPr>
          <w:lang w:val="en-GB"/>
        </w:rPr>
        <w:t xml:space="preserve">number </w:t>
      </w:r>
      <w:r w:rsidR="00C849A4">
        <w:rPr>
          <w:lang w:val="en-GB"/>
        </w:rPr>
        <w:t xml:space="preserve">of floors </w:t>
      </w:r>
      <w:r w:rsidR="006909A2">
        <w:rPr>
          <w:lang w:val="en-GB"/>
        </w:rPr>
        <w:t>is</w:t>
      </w:r>
      <w:r w:rsidR="00C849A4">
        <w:rPr>
          <w:lang w:val="en-GB"/>
        </w:rPr>
        <w:t xml:space="preserve"> 9.5</w:t>
      </w:r>
      <w:r>
        <w:rPr>
          <w:lang w:val="en-GB"/>
        </w:rPr>
        <w:t xml:space="preserve"> and </w:t>
      </w:r>
      <w:r w:rsidR="00C849A4">
        <w:rPr>
          <w:lang w:val="en-GB"/>
        </w:rPr>
        <w:t xml:space="preserve">the </w:t>
      </w:r>
      <w:r w:rsidR="00A1245B">
        <w:rPr>
          <w:lang w:val="en-GB"/>
        </w:rPr>
        <w:t xml:space="preserve">mean </w:t>
      </w:r>
      <w:r w:rsidR="00C849A4">
        <w:rPr>
          <w:lang w:val="en-GB"/>
        </w:rPr>
        <w:t xml:space="preserve">average </w:t>
      </w:r>
      <w:r w:rsidR="00A1245B">
        <w:rPr>
          <w:lang w:val="en-GB"/>
        </w:rPr>
        <w:t xml:space="preserve">number of </w:t>
      </w:r>
      <w:r w:rsidR="00827A3C">
        <w:rPr>
          <w:lang w:val="en-GB"/>
        </w:rPr>
        <w:t xml:space="preserve">apartments per riser/floor </w:t>
      </w:r>
      <w:r w:rsidR="006909A2">
        <w:rPr>
          <w:lang w:val="en-GB"/>
        </w:rPr>
        <w:t xml:space="preserve">is </w:t>
      </w:r>
      <w:r w:rsidR="00827A3C">
        <w:rPr>
          <w:lang w:val="en-GB"/>
        </w:rPr>
        <w:t>5.06.</w:t>
      </w:r>
      <w:r w:rsidR="007D0076">
        <w:rPr>
          <w:lang w:val="en-GB"/>
        </w:rPr>
        <w:t xml:space="preserve"> </w:t>
      </w:r>
    </w:p>
    <w:p w14:paraId="51367D13" w14:textId="081B289F" w:rsidR="00A1245B" w:rsidRDefault="00A1245B">
      <w:pPr>
        <w:spacing w:before="240" w:after="120"/>
        <w:jc w:val="both"/>
        <w:rPr>
          <w:lang w:val="en-GB"/>
        </w:rPr>
      </w:pPr>
      <w:r>
        <w:rPr>
          <w:lang w:val="en-GB"/>
        </w:rPr>
        <w:t>Based on this data, the reference building was defined as follows:</w:t>
      </w:r>
    </w:p>
    <w:p w14:paraId="17FB7F45" w14:textId="49C7D3E3" w:rsidR="000752D6" w:rsidRPr="00AB1482" w:rsidRDefault="000752D6">
      <w:pPr>
        <w:pStyle w:val="ListParagraph"/>
        <w:numPr>
          <w:ilvl w:val="0"/>
          <w:numId w:val="3"/>
        </w:numPr>
        <w:spacing w:before="240" w:after="120"/>
        <w:jc w:val="both"/>
        <w:rPr>
          <w:rFonts w:asciiTheme="minorHAnsi" w:hAnsiTheme="minorHAnsi" w:cstheme="minorHAnsi"/>
          <w:sz w:val="22"/>
          <w:szCs w:val="22"/>
        </w:rPr>
      </w:pPr>
      <w:r w:rsidRPr="00AB1482">
        <w:rPr>
          <w:rFonts w:asciiTheme="minorHAnsi" w:hAnsiTheme="minorHAnsi" w:cstheme="minorHAnsi"/>
          <w:sz w:val="22"/>
          <w:szCs w:val="22"/>
        </w:rPr>
        <w:t>200 apartments</w:t>
      </w:r>
    </w:p>
    <w:p w14:paraId="12188096" w14:textId="232ED5A9" w:rsidR="000752D6" w:rsidRPr="00AB1482" w:rsidRDefault="004463BF">
      <w:pPr>
        <w:pStyle w:val="ListParagraph"/>
        <w:numPr>
          <w:ilvl w:val="0"/>
          <w:numId w:val="3"/>
        </w:numPr>
        <w:spacing w:before="240" w:after="120"/>
        <w:jc w:val="both"/>
        <w:rPr>
          <w:rFonts w:asciiTheme="minorHAnsi" w:hAnsiTheme="minorHAnsi" w:cstheme="minorHAnsi"/>
          <w:sz w:val="22"/>
          <w:szCs w:val="22"/>
        </w:rPr>
      </w:pPr>
      <w:r w:rsidRPr="00AB1482">
        <w:rPr>
          <w:rFonts w:asciiTheme="minorHAnsi" w:hAnsiTheme="minorHAnsi" w:cstheme="minorHAnsi"/>
          <w:sz w:val="22"/>
          <w:szCs w:val="22"/>
        </w:rPr>
        <w:t>4 cores of 10 floors</w:t>
      </w:r>
      <w:r w:rsidR="00691530">
        <w:rPr>
          <w:rFonts w:asciiTheme="minorHAnsi" w:hAnsiTheme="minorHAnsi" w:cstheme="minorHAnsi"/>
          <w:sz w:val="22"/>
          <w:szCs w:val="22"/>
        </w:rPr>
        <w:t xml:space="preserve"> </w:t>
      </w:r>
      <w:r w:rsidR="00691530" w:rsidRPr="00AB1482">
        <w:rPr>
          <w:rFonts w:asciiTheme="minorHAnsi" w:hAnsiTheme="minorHAnsi" w:cstheme="minorHAnsi"/>
          <w:sz w:val="22"/>
          <w:szCs w:val="22"/>
        </w:rPr>
        <w:t>(50 apartments per core)</w:t>
      </w:r>
    </w:p>
    <w:p w14:paraId="76FCB7BE" w14:textId="32541871" w:rsidR="004463BF" w:rsidRDefault="004463BF">
      <w:pPr>
        <w:pStyle w:val="ListParagraph"/>
        <w:numPr>
          <w:ilvl w:val="0"/>
          <w:numId w:val="3"/>
        </w:numPr>
        <w:spacing w:before="240" w:after="120"/>
        <w:jc w:val="both"/>
        <w:rPr>
          <w:rFonts w:asciiTheme="minorHAnsi" w:hAnsiTheme="minorHAnsi" w:cstheme="minorHAnsi"/>
          <w:sz w:val="22"/>
          <w:szCs w:val="22"/>
        </w:rPr>
      </w:pPr>
      <w:r w:rsidRPr="00AB1482">
        <w:rPr>
          <w:rFonts w:asciiTheme="minorHAnsi" w:hAnsiTheme="minorHAnsi" w:cstheme="minorHAnsi"/>
          <w:sz w:val="22"/>
          <w:szCs w:val="22"/>
        </w:rPr>
        <w:t>5 apartments per floor</w:t>
      </w:r>
      <w:r w:rsidR="00DF5FB1" w:rsidRPr="00AB1482">
        <w:rPr>
          <w:rFonts w:asciiTheme="minorHAnsi" w:hAnsiTheme="minorHAnsi" w:cstheme="minorHAnsi"/>
          <w:sz w:val="22"/>
          <w:szCs w:val="22"/>
        </w:rPr>
        <w:t xml:space="preserve"> </w:t>
      </w:r>
    </w:p>
    <w:p w14:paraId="0C9A55F5" w14:textId="190B855E" w:rsidR="00A1245B" w:rsidRPr="00AB1482" w:rsidRDefault="00A1245B">
      <w:pPr>
        <w:spacing w:before="240" w:after="120"/>
        <w:jc w:val="both"/>
        <w:rPr>
          <w:rFonts w:cstheme="minorHAnsi"/>
        </w:rPr>
      </w:pPr>
      <w:r>
        <w:rPr>
          <w:rFonts w:cstheme="minorHAnsi"/>
        </w:rPr>
        <w:t>It should be noted that there are significant differences between the heat networks reviewed as shown in the table below.</w:t>
      </w:r>
    </w:p>
    <w:p w14:paraId="12EA9C8F" w14:textId="7C9D16FB" w:rsidR="00DF5FB1" w:rsidRDefault="009B192E">
      <w:pPr>
        <w:spacing w:before="240" w:after="120"/>
        <w:jc w:val="both"/>
      </w:pPr>
      <w:proofErr w:type="gramStart"/>
      <w:r>
        <w:t>In order to</w:t>
      </w:r>
      <w:proofErr w:type="gramEnd"/>
      <w:r>
        <w:t xml:space="preserve"> select an indicative pipe distribution </w:t>
      </w:r>
      <w:r w:rsidR="006909A2">
        <w:t xml:space="preserve">eight </w:t>
      </w:r>
      <w:r>
        <w:t xml:space="preserve">sites were </w:t>
      </w:r>
      <w:proofErr w:type="spellStart"/>
      <w:r>
        <w:t>analysed</w:t>
      </w:r>
      <w:proofErr w:type="spellEnd"/>
      <w:r>
        <w:t>. The results were as follows:</w:t>
      </w:r>
    </w:p>
    <w:p w14:paraId="14FE41F2" w14:textId="5980779B" w:rsidR="009B192E" w:rsidRDefault="009B192E">
      <w:pPr>
        <w:spacing w:before="240" w:after="120"/>
        <w:jc w:val="both"/>
      </w:pPr>
      <w:r>
        <w:rPr>
          <w:noProof/>
        </w:rPr>
        <w:drawing>
          <wp:inline distT="0" distB="0" distL="0" distR="0" wp14:anchorId="7ECC5059" wp14:editId="6D332EB1">
            <wp:extent cx="5857875" cy="18954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5857875" cy="1895475"/>
                    </a:xfrm>
                    <a:prstGeom prst="rect">
                      <a:avLst/>
                    </a:prstGeom>
                    <a:noFill/>
                    <a:ln>
                      <a:noFill/>
                    </a:ln>
                  </pic:spPr>
                </pic:pic>
              </a:graphicData>
            </a:graphic>
          </wp:inline>
        </w:drawing>
      </w:r>
    </w:p>
    <w:p w14:paraId="3079536B" w14:textId="31878642" w:rsidR="009B192E" w:rsidRDefault="009B192E">
      <w:pPr>
        <w:spacing w:before="240" w:after="120"/>
        <w:jc w:val="both"/>
      </w:pPr>
      <w:r>
        <w:t>In the corridor</w:t>
      </w:r>
      <w:r w:rsidR="00A1245B">
        <w:t xml:space="preserve"> (lateral),</w:t>
      </w:r>
      <w:r>
        <w:t xml:space="preserve"> the average distance between branches feeding single apartments was </w:t>
      </w:r>
      <w:r w:rsidR="009E6105">
        <w:t>3</w:t>
      </w:r>
      <w:r>
        <w:t>.62m, and the average distance between corridor pipe and HIUs was 5.</w:t>
      </w:r>
      <w:r w:rsidR="00A1245B">
        <w:t>91m</w:t>
      </w:r>
      <w:r>
        <w:t xml:space="preserve">. </w:t>
      </w:r>
      <w:r w:rsidR="00A1245B">
        <w:t xml:space="preserve">It was assumed that the average floor height was 3.00m. </w:t>
      </w:r>
      <w:r>
        <w:t>Since the pipe system will include flow and return</w:t>
      </w:r>
      <w:r w:rsidR="00A1245B">
        <w:t>,</w:t>
      </w:r>
      <w:r>
        <w:t xml:space="preserve"> the numbers used for the reference building will be:</w:t>
      </w:r>
    </w:p>
    <w:p w14:paraId="58FFD7C7" w14:textId="7981431C" w:rsidR="009B192E" w:rsidRDefault="009B192E">
      <w:pPr>
        <w:pStyle w:val="ListParagraph"/>
        <w:numPr>
          <w:ilvl w:val="0"/>
          <w:numId w:val="3"/>
        </w:numPr>
        <w:spacing w:before="240" w:after="120"/>
        <w:jc w:val="both"/>
        <w:rPr>
          <w:rFonts w:asciiTheme="minorHAnsi" w:hAnsiTheme="minorHAnsi" w:cstheme="minorHAnsi"/>
          <w:sz w:val="22"/>
          <w:szCs w:val="22"/>
        </w:rPr>
      </w:pPr>
      <w:r w:rsidRPr="00AB1482">
        <w:rPr>
          <w:rFonts w:asciiTheme="minorHAnsi" w:hAnsiTheme="minorHAnsi" w:cstheme="minorHAnsi"/>
          <w:sz w:val="22"/>
          <w:szCs w:val="22"/>
        </w:rPr>
        <w:t>6 m of riser</w:t>
      </w:r>
      <w:r w:rsidR="009E6105" w:rsidRPr="00AB1482">
        <w:rPr>
          <w:rFonts w:asciiTheme="minorHAnsi" w:hAnsiTheme="minorHAnsi" w:cstheme="minorHAnsi"/>
          <w:sz w:val="22"/>
          <w:szCs w:val="22"/>
        </w:rPr>
        <w:t xml:space="preserve"> pipe</w:t>
      </w:r>
      <w:r w:rsidRPr="00AB1482">
        <w:rPr>
          <w:rFonts w:asciiTheme="minorHAnsi" w:hAnsiTheme="minorHAnsi" w:cstheme="minorHAnsi"/>
          <w:sz w:val="22"/>
          <w:szCs w:val="22"/>
        </w:rPr>
        <w:t xml:space="preserve"> per floor (including F&amp;R)</w:t>
      </w:r>
    </w:p>
    <w:p w14:paraId="031AD828" w14:textId="77E82E6D" w:rsidR="007E5C16" w:rsidRPr="00AB1482" w:rsidRDefault="007E5C16">
      <w:pPr>
        <w:pStyle w:val="ListParagraph"/>
        <w:numPr>
          <w:ilvl w:val="0"/>
          <w:numId w:val="3"/>
        </w:numPr>
        <w:spacing w:before="240" w:after="120"/>
        <w:jc w:val="both"/>
        <w:rPr>
          <w:rFonts w:asciiTheme="minorHAnsi" w:hAnsiTheme="minorHAnsi" w:cstheme="minorHAnsi"/>
          <w:sz w:val="22"/>
          <w:szCs w:val="22"/>
        </w:rPr>
      </w:pPr>
      <w:r w:rsidRPr="00AB1482">
        <w:rPr>
          <w:rFonts w:asciiTheme="minorHAnsi" w:hAnsiTheme="minorHAnsi" w:cstheme="minorHAnsi"/>
          <w:sz w:val="22"/>
          <w:szCs w:val="22"/>
        </w:rPr>
        <w:t xml:space="preserve">7 m </w:t>
      </w:r>
      <w:r w:rsidR="00847C1E">
        <w:rPr>
          <w:rFonts w:asciiTheme="minorHAnsi" w:hAnsiTheme="minorHAnsi" w:cstheme="minorHAnsi"/>
          <w:sz w:val="22"/>
          <w:szCs w:val="22"/>
        </w:rPr>
        <w:t xml:space="preserve">laterals </w:t>
      </w:r>
      <w:r w:rsidRPr="00AB1482">
        <w:rPr>
          <w:rFonts w:asciiTheme="minorHAnsi" w:hAnsiTheme="minorHAnsi" w:cstheme="minorHAnsi"/>
          <w:sz w:val="22"/>
          <w:szCs w:val="22"/>
        </w:rPr>
        <w:t>between branches feeding single apartments (including F&amp;R)</w:t>
      </w:r>
    </w:p>
    <w:p w14:paraId="37E32D9B" w14:textId="64E8107A" w:rsidR="007E5C16" w:rsidRPr="00AB1482" w:rsidRDefault="007E5C16">
      <w:pPr>
        <w:pStyle w:val="ListParagraph"/>
        <w:numPr>
          <w:ilvl w:val="0"/>
          <w:numId w:val="3"/>
        </w:numPr>
        <w:spacing w:before="240" w:after="120"/>
        <w:jc w:val="both"/>
        <w:rPr>
          <w:rFonts w:asciiTheme="minorHAnsi" w:hAnsiTheme="minorHAnsi" w:cstheme="minorHAnsi"/>
          <w:sz w:val="22"/>
          <w:szCs w:val="22"/>
        </w:rPr>
      </w:pPr>
      <w:r w:rsidRPr="00AB1482">
        <w:rPr>
          <w:rFonts w:asciiTheme="minorHAnsi" w:hAnsiTheme="minorHAnsi" w:cstheme="minorHAnsi"/>
          <w:sz w:val="22"/>
          <w:szCs w:val="22"/>
        </w:rPr>
        <w:t>12</w:t>
      </w:r>
      <w:r>
        <w:rPr>
          <w:rFonts w:asciiTheme="minorHAnsi" w:hAnsiTheme="minorHAnsi" w:cstheme="minorHAnsi"/>
          <w:sz w:val="22"/>
          <w:szCs w:val="22"/>
        </w:rPr>
        <w:t xml:space="preserve"> </w:t>
      </w:r>
      <w:r w:rsidRPr="00AB1482">
        <w:rPr>
          <w:rFonts w:asciiTheme="minorHAnsi" w:hAnsiTheme="minorHAnsi" w:cstheme="minorHAnsi"/>
          <w:sz w:val="22"/>
          <w:szCs w:val="22"/>
        </w:rPr>
        <w:t xml:space="preserve">m </w:t>
      </w:r>
      <w:r w:rsidR="00247A8E">
        <w:rPr>
          <w:rFonts w:asciiTheme="minorHAnsi" w:hAnsiTheme="minorHAnsi" w:cstheme="minorHAnsi"/>
          <w:sz w:val="22"/>
          <w:szCs w:val="22"/>
        </w:rPr>
        <w:t xml:space="preserve">terminal </w:t>
      </w:r>
      <w:r w:rsidR="00847C1E">
        <w:rPr>
          <w:rFonts w:asciiTheme="minorHAnsi" w:hAnsiTheme="minorHAnsi" w:cstheme="minorHAnsi"/>
          <w:sz w:val="22"/>
          <w:szCs w:val="22"/>
        </w:rPr>
        <w:t>runs from</w:t>
      </w:r>
      <w:r w:rsidRPr="00AB1482">
        <w:rPr>
          <w:rFonts w:asciiTheme="minorHAnsi" w:hAnsiTheme="minorHAnsi" w:cstheme="minorHAnsi"/>
          <w:sz w:val="22"/>
          <w:szCs w:val="22"/>
        </w:rPr>
        <w:t xml:space="preserve"> HIU </w:t>
      </w:r>
      <w:r w:rsidR="009C122E">
        <w:rPr>
          <w:rFonts w:asciiTheme="minorHAnsi" w:hAnsiTheme="minorHAnsi" w:cstheme="minorHAnsi"/>
          <w:sz w:val="22"/>
          <w:szCs w:val="22"/>
        </w:rPr>
        <w:t>to</w:t>
      </w:r>
      <w:r w:rsidRPr="00AB1482">
        <w:rPr>
          <w:rFonts w:asciiTheme="minorHAnsi" w:hAnsiTheme="minorHAnsi" w:cstheme="minorHAnsi"/>
          <w:sz w:val="22"/>
          <w:szCs w:val="22"/>
        </w:rPr>
        <w:t xml:space="preserve"> the corridor (including F&amp;R)</w:t>
      </w:r>
    </w:p>
    <w:p w14:paraId="4DBA771F" w14:textId="3B8E11AB" w:rsidR="009B192E" w:rsidRDefault="009B192E">
      <w:pPr>
        <w:spacing w:before="240" w:after="120"/>
        <w:jc w:val="both"/>
      </w:pPr>
      <w:r>
        <w:t xml:space="preserve">The selected distance between cores is 25 m (50m including F&amp;R). This distance is </w:t>
      </w:r>
      <w:proofErr w:type="gramStart"/>
      <w:r w:rsidR="00A1245B">
        <w:t>arbitrary</w:t>
      </w:r>
      <w:proofErr w:type="gramEnd"/>
      <w:r w:rsidR="00A1245B">
        <w:t xml:space="preserve"> </w:t>
      </w:r>
      <w:r>
        <w:t xml:space="preserve">but </w:t>
      </w:r>
      <w:r w:rsidR="00A1245B">
        <w:t xml:space="preserve">it was felt that this represented a realistic distance between cores. It should be noted that this pipework had a minimal impact on </w:t>
      </w:r>
      <w:r>
        <w:t>site performance</w:t>
      </w:r>
      <w:r w:rsidR="00A1245B">
        <w:t xml:space="preserve"> and overall heat losses.</w:t>
      </w:r>
    </w:p>
    <w:p w14:paraId="3A18F81B" w14:textId="7A9F971E" w:rsidR="002C4FE7" w:rsidRDefault="00933A5C">
      <w:pPr>
        <w:spacing w:before="240" w:after="120"/>
        <w:jc w:val="both"/>
      </w:pPr>
      <w:r>
        <w:lastRenderedPageBreak/>
        <w:t>On the efficient multi-riser distribution</w:t>
      </w:r>
      <w:r w:rsidR="00A1245B">
        <w:t>,</w:t>
      </w:r>
      <w:r>
        <w:t xml:space="preserve"> the HIUs are next to the riser </w:t>
      </w:r>
      <w:r w:rsidR="00AA4701">
        <w:t xml:space="preserve">with assumed terminal runs of 2 m </w:t>
      </w:r>
      <w:r w:rsidR="000B1624">
        <w:t xml:space="preserve">length (including F&amp;R) </w:t>
      </w:r>
      <w:r>
        <w:t xml:space="preserve">and the </w:t>
      </w:r>
      <w:r w:rsidR="00962BFB" w:rsidRPr="000E3EAA">
        <w:t xml:space="preserve">car park distribution is </w:t>
      </w:r>
      <w:r w:rsidR="00A1245B" w:rsidRPr="000E3EAA">
        <w:t xml:space="preserve">assumed to have </w:t>
      </w:r>
      <w:r w:rsidR="00962BFB" w:rsidRPr="000E3EAA">
        <w:t>slightly longer</w:t>
      </w:r>
      <w:r w:rsidR="00A1245B" w:rsidRPr="000E3EAA">
        <w:t xml:space="preserve"> pipework</w:t>
      </w:r>
      <w:r w:rsidR="00962BFB" w:rsidRPr="000E3EAA">
        <w:t xml:space="preserve"> to </w:t>
      </w:r>
      <w:r w:rsidR="009704DA" w:rsidRPr="000E3EAA">
        <w:t xml:space="preserve">show a </w:t>
      </w:r>
      <w:r w:rsidR="005269D3" w:rsidRPr="000E3EAA">
        <w:t xml:space="preserve">more complex distribution at ground level to simplify </w:t>
      </w:r>
      <w:r w:rsidR="007E690F" w:rsidRPr="000E3EAA">
        <w:t>the riser distribution.</w:t>
      </w:r>
    </w:p>
    <w:p w14:paraId="481C752F" w14:textId="4EF219CB" w:rsidR="000331F4" w:rsidRPr="00D917C3" w:rsidRDefault="002C4FE7">
      <w:pPr>
        <w:spacing w:before="240" w:after="120"/>
        <w:jc w:val="both"/>
      </w:pPr>
      <w:r>
        <w:t xml:space="preserve">With </w:t>
      </w:r>
      <w:r w:rsidR="00A1245B">
        <w:t xml:space="preserve">these </w:t>
      </w:r>
      <w:r>
        <w:t>parameters</w:t>
      </w:r>
      <w:r w:rsidR="00A1245B">
        <w:t>,</w:t>
      </w:r>
      <w:r>
        <w:t xml:space="preserve"> the standard solution would </w:t>
      </w:r>
      <w:r w:rsidRPr="00912CA6">
        <w:t xml:space="preserve">have </w:t>
      </w:r>
      <w:r w:rsidR="006D796E" w:rsidRPr="00912CA6">
        <w:t>4,</w:t>
      </w:r>
      <w:r w:rsidR="00E43440" w:rsidRPr="00912CA6">
        <w:t>255 m o</w:t>
      </w:r>
      <w:r w:rsidR="00E43440">
        <w:t xml:space="preserve">f pipe while the efficient </w:t>
      </w:r>
      <w:r w:rsidR="008141A3">
        <w:t>distribution</w:t>
      </w:r>
      <w:r w:rsidR="00E43440">
        <w:t xml:space="preserve"> would </w:t>
      </w:r>
      <w:r w:rsidR="008141A3">
        <w:t xml:space="preserve">only </w:t>
      </w:r>
      <w:r w:rsidR="00E43440">
        <w:t xml:space="preserve">have </w:t>
      </w:r>
      <w:r w:rsidR="008141A3">
        <w:t>1,495</w:t>
      </w:r>
      <w:r w:rsidR="001947CE">
        <w:t xml:space="preserve"> </w:t>
      </w:r>
      <w:r w:rsidR="008141A3">
        <w:t>m pipe.</w:t>
      </w:r>
    </w:p>
    <w:p w14:paraId="06C85CB3" w14:textId="77777777" w:rsidR="000331F4" w:rsidRPr="0068185E" w:rsidRDefault="000331F4">
      <w:pPr>
        <w:pStyle w:val="Heading1"/>
        <w:rPr>
          <w:rFonts w:asciiTheme="minorHAnsi" w:hAnsiTheme="minorHAnsi" w:cstheme="minorHAnsi"/>
          <w:szCs w:val="22"/>
        </w:rPr>
      </w:pPr>
      <w:r>
        <w:rPr>
          <w:rFonts w:asciiTheme="minorHAnsi" w:hAnsiTheme="minorHAnsi" w:cstheme="minorHAnsi"/>
          <w:bCs/>
          <w:szCs w:val="22"/>
        </w:rPr>
        <w:t>Temperature profile</w:t>
      </w:r>
    </w:p>
    <w:p w14:paraId="5B1B0E23" w14:textId="3F76B501" w:rsidR="008D27D8" w:rsidRDefault="008D27D8" w:rsidP="00C25DFD">
      <w:pPr>
        <w:jc w:val="both"/>
        <w:rPr>
          <w:rFonts w:cstheme="minorHAnsi"/>
          <w:lang w:val="en-GB"/>
        </w:rPr>
      </w:pPr>
      <w:r>
        <w:rPr>
          <w:rFonts w:cstheme="minorHAnsi"/>
          <w:lang w:val="en-GB"/>
        </w:rPr>
        <w:t xml:space="preserve">The </w:t>
      </w:r>
      <w:r w:rsidR="00542FE6">
        <w:rPr>
          <w:rFonts w:cstheme="minorHAnsi"/>
          <w:lang w:val="en-GB"/>
        </w:rPr>
        <w:t xml:space="preserve">two designs put forward in the technical note </w:t>
      </w:r>
      <w:r w:rsidR="000E7291">
        <w:rPr>
          <w:rFonts w:cstheme="minorHAnsi"/>
          <w:lang w:val="en-GB"/>
        </w:rPr>
        <w:t>are</w:t>
      </w:r>
      <w:r w:rsidR="00542FE6">
        <w:rPr>
          <w:rFonts w:cstheme="minorHAnsi"/>
          <w:lang w:val="en-GB"/>
        </w:rPr>
        <w:t xml:space="preserve"> </w:t>
      </w:r>
      <w:r w:rsidR="007D12E0">
        <w:rPr>
          <w:rFonts w:cstheme="minorHAnsi"/>
          <w:lang w:val="en-GB"/>
        </w:rPr>
        <w:t xml:space="preserve">modelled </w:t>
      </w:r>
      <w:r w:rsidR="00EE5B6A">
        <w:rPr>
          <w:rFonts w:cstheme="minorHAnsi"/>
          <w:lang w:val="en-GB"/>
        </w:rPr>
        <w:t xml:space="preserve">with a high temperature </w:t>
      </w:r>
      <w:r w:rsidR="000E7291">
        <w:rPr>
          <w:rFonts w:cstheme="minorHAnsi"/>
          <w:lang w:val="en-GB"/>
        </w:rPr>
        <w:t xml:space="preserve">profile </w:t>
      </w:r>
      <w:r w:rsidR="00EE5B6A">
        <w:rPr>
          <w:rFonts w:cstheme="minorHAnsi"/>
          <w:lang w:val="en-GB"/>
        </w:rPr>
        <w:t xml:space="preserve">and a low temperature </w:t>
      </w:r>
      <w:r w:rsidR="000E7291">
        <w:rPr>
          <w:rFonts w:cstheme="minorHAnsi"/>
          <w:lang w:val="en-GB"/>
        </w:rPr>
        <w:t>profile</w:t>
      </w:r>
      <w:r w:rsidR="00EE5B6A">
        <w:rPr>
          <w:rFonts w:cstheme="minorHAnsi"/>
          <w:lang w:val="en-GB"/>
        </w:rPr>
        <w:t xml:space="preserve">. </w:t>
      </w:r>
    </w:p>
    <w:p w14:paraId="07E0D866" w14:textId="56ACB70B" w:rsidR="00876E58" w:rsidRDefault="00876E58" w:rsidP="00C25DFD">
      <w:pPr>
        <w:jc w:val="both"/>
        <w:rPr>
          <w:rFonts w:cstheme="minorHAnsi"/>
          <w:lang w:val="en-GB"/>
        </w:rPr>
      </w:pPr>
      <w:r>
        <w:rPr>
          <w:rFonts w:cstheme="minorHAnsi"/>
          <w:lang w:val="en-GB"/>
        </w:rPr>
        <w:t xml:space="preserve">The </w:t>
      </w:r>
      <w:r w:rsidR="00FA75FB">
        <w:rPr>
          <w:rFonts w:cstheme="minorHAnsi"/>
          <w:lang w:val="en-GB"/>
        </w:rPr>
        <w:t>primary flow temperature</w:t>
      </w:r>
      <w:r w:rsidR="00501CCF">
        <w:rPr>
          <w:rFonts w:cstheme="minorHAnsi"/>
          <w:lang w:val="en-GB"/>
        </w:rPr>
        <w:t xml:space="preserve"> </w:t>
      </w:r>
      <w:r w:rsidR="00FA75FB">
        <w:rPr>
          <w:rFonts w:cstheme="minorHAnsi"/>
          <w:lang w:val="en-GB"/>
        </w:rPr>
        <w:t xml:space="preserve">for the high temperature design is 70 ˚C. </w:t>
      </w:r>
    </w:p>
    <w:p w14:paraId="2C184672" w14:textId="3B4B7A2D" w:rsidR="00FA75FB" w:rsidRDefault="00FA75FB" w:rsidP="00C25DFD">
      <w:pPr>
        <w:jc w:val="both"/>
        <w:rPr>
          <w:rFonts w:cstheme="minorHAnsi"/>
          <w:lang w:val="en-GB"/>
        </w:rPr>
      </w:pPr>
      <w:r>
        <w:rPr>
          <w:rFonts w:cstheme="minorHAnsi"/>
          <w:lang w:val="en-GB"/>
        </w:rPr>
        <w:t xml:space="preserve">The primary flow temperature for the low temperature design is 55 ˚C. </w:t>
      </w:r>
    </w:p>
    <w:p w14:paraId="599AF546" w14:textId="7B0A4EBC" w:rsidR="009E070A" w:rsidRDefault="007461C8" w:rsidP="00C25DFD">
      <w:pPr>
        <w:jc w:val="both"/>
        <w:rPr>
          <w:rFonts w:cstheme="minorHAnsi"/>
          <w:lang w:val="en-GB"/>
        </w:rPr>
      </w:pPr>
      <w:r>
        <w:rPr>
          <w:rFonts w:cstheme="minorHAnsi"/>
          <w:lang w:val="en-GB"/>
        </w:rPr>
        <w:t xml:space="preserve">It should be noted that all parameters </w:t>
      </w:r>
      <w:r w:rsidR="000E2C05">
        <w:rPr>
          <w:rFonts w:cstheme="minorHAnsi"/>
          <w:lang w:val="en-GB"/>
        </w:rPr>
        <w:t>are the same across the two designs apart from the primary flow</w:t>
      </w:r>
      <w:r w:rsidR="00CD218F">
        <w:rPr>
          <w:rFonts w:cstheme="minorHAnsi"/>
          <w:lang w:val="en-GB"/>
        </w:rPr>
        <w:t xml:space="preserve"> and </w:t>
      </w:r>
      <w:r w:rsidR="000E2C05">
        <w:rPr>
          <w:rFonts w:cstheme="minorHAnsi"/>
          <w:lang w:val="en-GB"/>
        </w:rPr>
        <w:t xml:space="preserve">return temperatures and the space heating profiles. </w:t>
      </w:r>
      <w:r w:rsidR="00433BF5">
        <w:rPr>
          <w:rFonts w:cstheme="minorHAnsi"/>
          <w:lang w:val="en-GB"/>
        </w:rPr>
        <w:t>A summary of these parameters ha</w:t>
      </w:r>
      <w:r w:rsidR="0045731C">
        <w:rPr>
          <w:rFonts w:cstheme="minorHAnsi"/>
          <w:lang w:val="en-GB"/>
        </w:rPr>
        <w:t>s</w:t>
      </w:r>
      <w:r w:rsidR="00433BF5">
        <w:rPr>
          <w:rFonts w:cstheme="minorHAnsi"/>
          <w:lang w:val="en-GB"/>
        </w:rPr>
        <w:t xml:space="preserve"> been included at the end of the document. </w:t>
      </w:r>
    </w:p>
    <w:p w14:paraId="069D8F6A" w14:textId="7E1768FC" w:rsidR="0006629B" w:rsidRPr="00E15785" w:rsidRDefault="00263F1E">
      <w:pPr>
        <w:pStyle w:val="Heading1"/>
        <w:rPr>
          <w:rFonts w:asciiTheme="minorHAnsi" w:hAnsiTheme="minorHAnsi" w:cstheme="minorHAnsi"/>
          <w:b w:val="0"/>
          <w:bCs/>
          <w:szCs w:val="22"/>
        </w:rPr>
      </w:pPr>
      <w:r>
        <w:rPr>
          <w:rFonts w:asciiTheme="minorHAnsi" w:hAnsiTheme="minorHAnsi" w:cstheme="minorHAnsi"/>
          <w:bCs/>
          <w:szCs w:val="22"/>
        </w:rPr>
        <w:t>Apartment standard deman</w:t>
      </w:r>
      <w:r w:rsidR="00E15785">
        <w:rPr>
          <w:rFonts w:asciiTheme="minorHAnsi" w:hAnsiTheme="minorHAnsi" w:cstheme="minorHAnsi"/>
          <w:bCs/>
          <w:szCs w:val="22"/>
        </w:rPr>
        <w:t>d</w:t>
      </w:r>
    </w:p>
    <w:p w14:paraId="5DDB24A2" w14:textId="7F949939" w:rsidR="00361837" w:rsidRDefault="008B48CB" w:rsidP="00C25DFD">
      <w:pPr>
        <w:jc w:val="both"/>
        <w:rPr>
          <w:lang w:val="en-GB"/>
        </w:rPr>
      </w:pPr>
      <w:r>
        <w:rPr>
          <w:lang w:val="en-GB"/>
        </w:rPr>
        <w:t xml:space="preserve">The DHW set point has been minimised as far as practicable </w:t>
      </w:r>
      <w:r w:rsidR="001B5B14">
        <w:rPr>
          <w:lang w:val="en-GB"/>
        </w:rPr>
        <w:t xml:space="preserve">to 50 ˚C </w:t>
      </w:r>
      <w:r w:rsidR="00D37009">
        <w:rPr>
          <w:lang w:val="en-GB"/>
        </w:rPr>
        <w:t xml:space="preserve">in line with HSE guidance. </w:t>
      </w:r>
    </w:p>
    <w:p w14:paraId="071D6D31" w14:textId="772F8A32" w:rsidR="00C95712" w:rsidRDefault="00B675BB" w:rsidP="00FB1191">
      <w:pPr>
        <w:jc w:val="both"/>
        <w:rPr>
          <w:lang w:val="en-GB"/>
        </w:rPr>
      </w:pPr>
      <w:r>
        <w:rPr>
          <w:lang w:val="en-GB"/>
        </w:rPr>
        <w:t>The average apartment selected</w:t>
      </w:r>
      <w:r w:rsidR="00F17969">
        <w:rPr>
          <w:lang w:val="en-GB"/>
        </w:rPr>
        <w:t xml:space="preserve"> will include a bathroom with a bath and another bathroom with a shower. According to the latest NHBC</w:t>
      </w:r>
      <w:r w:rsidR="00C6357C">
        <w:rPr>
          <w:lang w:val="en-GB"/>
        </w:rPr>
        <w:t xml:space="preserve"> standard the DHW required on this kind of apartment will be </w:t>
      </w:r>
      <w:r w:rsidR="00BC7873">
        <w:rPr>
          <w:lang w:val="en-GB"/>
        </w:rPr>
        <w:t xml:space="preserve">9 l/min on the bath (at 48 °C) and </w:t>
      </w:r>
      <w:r w:rsidR="007F7B9C">
        <w:rPr>
          <w:lang w:val="en-GB"/>
        </w:rPr>
        <w:t>8</w:t>
      </w:r>
      <w:r w:rsidR="00BC7873">
        <w:rPr>
          <w:lang w:val="en-GB"/>
        </w:rPr>
        <w:t xml:space="preserve"> l/min on the shower (at 40 °C)</w:t>
      </w:r>
      <w:r w:rsidR="00BC7873" w:rsidRPr="00F91A49">
        <w:rPr>
          <w:lang w:val="en-GB"/>
        </w:rPr>
        <w:t xml:space="preserve">. </w:t>
      </w:r>
    </w:p>
    <w:p w14:paraId="105DE965" w14:textId="77777777" w:rsidR="00C95712" w:rsidRDefault="002C5275" w:rsidP="00FB1191">
      <w:pPr>
        <w:jc w:val="both"/>
        <w:rPr>
          <w:lang w:val="en-GB"/>
        </w:rPr>
      </w:pPr>
      <w:r w:rsidRPr="00F91A49">
        <w:rPr>
          <w:lang w:val="en-GB"/>
        </w:rPr>
        <w:t xml:space="preserve">The </w:t>
      </w:r>
      <w:r w:rsidR="00493EF5" w:rsidRPr="00F91A49">
        <w:rPr>
          <w:lang w:val="en-GB"/>
        </w:rPr>
        <w:t xml:space="preserve">kitchen outlet has been set to 6 l/min </w:t>
      </w:r>
      <w:r w:rsidR="00E03E38" w:rsidRPr="00F91A49">
        <w:rPr>
          <w:lang w:val="en-GB"/>
        </w:rPr>
        <w:t xml:space="preserve">in </w:t>
      </w:r>
      <w:r w:rsidR="00493EF5" w:rsidRPr="00F91A49">
        <w:rPr>
          <w:lang w:val="en-GB"/>
        </w:rPr>
        <w:t>accord</w:t>
      </w:r>
      <w:r w:rsidR="00E03E38" w:rsidRPr="00F91A49">
        <w:rPr>
          <w:lang w:val="en-GB"/>
        </w:rPr>
        <w:t>ance</w:t>
      </w:r>
      <w:r w:rsidR="00493EF5" w:rsidRPr="00F91A49">
        <w:rPr>
          <w:lang w:val="en-GB"/>
        </w:rPr>
        <w:t xml:space="preserve"> </w:t>
      </w:r>
      <w:r w:rsidR="00766CB1">
        <w:rPr>
          <w:lang w:val="en-GB"/>
        </w:rPr>
        <w:t xml:space="preserve">with Table 2.2 of the </w:t>
      </w:r>
      <w:r w:rsidR="00E174AB" w:rsidRPr="00F91A49">
        <w:rPr>
          <w:lang w:val="en-GB"/>
        </w:rPr>
        <w:t>Part G Building Regulations</w:t>
      </w:r>
      <w:r w:rsidR="00E174AB">
        <w:rPr>
          <w:lang w:val="en-GB"/>
        </w:rPr>
        <w:t>.</w:t>
      </w:r>
    </w:p>
    <w:p w14:paraId="20AA1372" w14:textId="4D2FCF6E" w:rsidR="0021749C" w:rsidRDefault="00BC7873" w:rsidP="00C25DFD">
      <w:pPr>
        <w:jc w:val="both"/>
        <w:rPr>
          <w:lang w:val="en-GB"/>
        </w:rPr>
      </w:pPr>
      <w:r>
        <w:rPr>
          <w:lang w:val="en-GB"/>
        </w:rPr>
        <w:t xml:space="preserve">This </w:t>
      </w:r>
      <w:r w:rsidR="006D796E">
        <w:rPr>
          <w:lang w:val="en-GB"/>
        </w:rPr>
        <w:t>is calculated as</w:t>
      </w:r>
      <w:r>
        <w:rPr>
          <w:lang w:val="en-GB"/>
        </w:rPr>
        <w:t xml:space="preserve"> </w:t>
      </w:r>
      <w:r w:rsidR="009001DE">
        <w:rPr>
          <w:lang w:val="en-GB"/>
        </w:rPr>
        <w:t>41.</w:t>
      </w:r>
      <w:r w:rsidR="00B07406">
        <w:rPr>
          <w:lang w:val="en-GB"/>
        </w:rPr>
        <w:t>4</w:t>
      </w:r>
      <w:r>
        <w:rPr>
          <w:lang w:val="en-GB"/>
        </w:rPr>
        <w:t xml:space="preserve"> kW</w:t>
      </w:r>
      <w:r w:rsidR="00A629BE">
        <w:rPr>
          <w:lang w:val="en-GB"/>
        </w:rPr>
        <w:t xml:space="preserve"> </w:t>
      </w:r>
      <w:r w:rsidR="00C23D87">
        <w:rPr>
          <w:lang w:val="en-GB"/>
        </w:rPr>
        <w:t xml:space="preserve">for the </w:t>
      </w:r>
      <w:r w:rsidR="00A629BE">
        <w:rPr>
          <w:lang w:val="en-GB"/>
        </w:rPr>
        <w:t>DHW demand</w:t>
      </w:r>
      <w:r w:rsidR="006D796E">
        <w:rPr>
          <w:lang w:val="en-GB"/>
        </w:rPr>
        <w:t xml:space="preserve"> following DS 439</w:t>
      </w:r>
      <w:r w:rsidR="002C3997">
        <w:rPr>
          <w:lang w:val="en-GB"/>
        </w:rPr>
        <w:t xml:space="preserve"> flow rate DHW diversity methodology.</w:t>
      </w:r>
    </w:p>
    <w:p w14:paraId="0BBD1BBA" w14:textId="0D555931" w:rsidR="00FA6082" w:rsidRDefault="00E0386F" w:rsidP="00C25DFD">
      <w:pPr>
        <w:jc w:val="both"/>
        <w:rPr>
          <w:lang w:val="en-GB"/>
        </w:rPr>
      </w:pPr>
      <w:r>
        <w:rPr>
          <w:lang w:val="en-GB"/>
        </w:rPr>
        <w:t xml:space="preserve">The </w:t>
      </w:r>
      <w:r w:rsidR="00FA6082">
        <w:rPr>
          <w:lang w:val="en-GB"/>
        </w:rPr>
        <w:t xml:space="preserve">average heating demand </w:t>
      </w:r>
      <w:r>
        <w:rPr>
          <w:lang w:val="en-GB"/>
        </w:rPr>
        <w:t xml:space="preserve">has been selected as </w:t>
      </w:r>
      <w:r w:rsidR="00FA6082">
        <w:rPr>
          <w:lang w:val="en-GB"/>
        </w:rPr>
        <w:t>3 kW</w:t>
      </w:r>
      <w:r w:rsidR="00A1245B">
        <w:rPr>
          <w:lang w:val="en-GB"/>
        </w:rPr>
        <w:t xml:space="preserve"> which is </w:t>
      </w:r>
      <w:r w:rsidR="00E961FE">
        <w:rPr>
          <w:lang w:val="en-GB"/>
        </w:rPr>
        <w:t xml:space="preserve">considered conservative and </w:t>
      </w:r>
      <w:r w:rsidR="00A1245B">
        <w:rPr>
          <w:lang w:val="en-GB"/>
        </w:rPr>
        <w:t>based on experience from the authors</w:t>
      </w:r>
      <w:r w:rsidR="00FA6082">
        <w:rPr>
          <w:lang w:val="en-GB"/>
        </w:rPr>
        <w:t>.</w:t>
      </w:r>
    </w:p>
    <w:p w14:paraId="646E2284" w14:textId="29AF34F5" w:rsidR="003372F9" w:rsidRDefault="003372F9" w:rsidP="00C25DFD">
      <w:pPr>
        <w:jc w:val="both"/>
        <w:rPr>
          <w:lang w:val="en-GB"/>
        </w:rPr>
      </w:pPr>
      <w:r>
        <w:rPr>
          <w:lang w:val="en-GB"/>
        </w:rPr>
        <w:t xml:space="preserve">These parameters are only used </w:t>
      </w:r>
      <w:r w:rsidR="00E961FE">
        <w:rPr>
          <w:lang w:val="en-GB"/>
        </w:rPr>
        <w:t>to size the system pipework.</w:t>
      </w:r>
      <w:r>
        <w:rPr>
          <w:lang w:val="en-GB"/>
        </w:rPr>
        <w:t xml:space="preserve"> </w:t>
      </w:r>
    </w:p>
    <w:p w14:paraId="31FFEDE2" w14:textId="77777777" w:rsidR="000331F4" w:rsidRPr="00D83866" w:rsidRDefault="000331F4">
      <w:pPr>
        <w:pStyle w:val="Heading1"/>
        <w:rPr>
          <w:rFonts w:asciiTheme="minorHAnsi" w:hAnsiTheme="minorHAnsi" w:cstheme="minorHAnsi"/>
          <w:b w:val="0"/>
          <w:bCs/>
          <w:szCs w:val="22"/>
        </w:rPr>
      </w:pPr>
      <w:r w:rsidRPr="00D83866">
        <w:rPr>
          <w:rFonts w:asciiTheme="minorHAnsi" w:hAnsiTheme="minorHAnsi" w:cstheme="minorHAnsi"/>
          <w:bCs/>
          <w:szCs w:val="22"/>
        </w:rPr>
        <w:t>Space heating profile</w:t>
      </w:r>
    </w:p>
    <w:p w14:paraId="4255D2E4" w14:textId="0844F008" w:rsidR="000331F4" w:rsidRDefault="000331F4" w:rsidP="00C25DFD">
      <w:pPr>
        <w:jc w:val="both"/>
        <w:rPr>
          <w:lang w:val="en-GB"/>
        </w:rPr>
      </w:pPr>
      <w:r>
        <w:rPr>
          <w:lang w:val="en-GB"/>
        </w:rPr>
        <w:t>For the high temperature model</w:t>
      </w:r>
      <w:r w:rsidR="005F1133">
        <w:rPr>
          <w:lang w:val="en-GB"/>
        </w:rPr>
        <w:t>,</w:t>
      </w:r>
      <w:r>
        <w:rPr>
          <w:lang w:val="en-GB"/>
        </w:rPr>
        <w:t xml:space="preserve"> the average apartment selected will include radiators with a space heating profile of 60 ˚C and 40 ˚C for the flow and return. </w:t>
      </w:r>
    </w:p>
    <w:p w14:paraId="418F60EA" w14:textId="57B923CB" w:rsidR="000331F4" w:rsidRPr="0021749C" w:rsidRDefault="000331F4" w:rsidP="00C25DFD">
      <w:pPr>
        <w:jc w:val="both"/>
        <w:rPr>
          <w:lang w:val="en-GB"/>
        </w:rPr>
      </w:pPr>
      <w:r>
        <w:rPr>
          <w:lang w:val="en-GB"/>
        </w:rPr>
        <w:t>For the low temperature model</w:t>
      </w:r>
      <w:r w:rsidR="005F1133">
        <w:rPr>
          <w:lang w:val="en-GB"/>
        </w:rPr>
        <w:t>,</w:t>
      </w:r>
      <w:r>
        <w:rPr>
          <w:lang w:val="en-GB"/>
        </w:rPr>
        <w:t xml:space="preserve"> the average apartment selected will include under floor heating with a space heating profile of 45 ˚C and 35 ˚C for the flow and return. </w:t>
      </w:r>
    </w:p>
    <w:p w14:paraId="69DB7923" w14:textId="69C1E10E" w:rsidR="003F027B" w:rsidRDefault="009319A5">
      <w:pPr>
        <w:pStyle w:val="Heading1"/>
        <w:rPr>
          <w:rFonts w:asciiTheme="minorHAnsi" w:hAnsiTheme="minorHAnsi" w:cstheme="minorHAnsi"/>
          <w:b w:val="0"/>
          <w:bCs/>
          <w:szCs w:val="22"/>
        </w:rPr>
      </w:pPr>
      <w:r>
        <w:rPr>
          <w:rFonts w:asciiTheme="minorHAnsi" w:hAnsiTheme="minorHAnsi" w:cstheme="minorHAnsi"/>
          <w:bCs/>
          <w:szCs w:val="22"/>
        </w:rPr>
        <w:t>System dimension</w:t>
      </w:r>
      <w:r w:rsidR="007C1E87">
        <w:rPr>
          <w:rFonts w:asciiTheme="minorHAnsi" w:hAnsiTheme="minorHAnsi" w:cstheme="minorHAnsi"/>
          <w:bCs/>
          <w:szCs w:val="22"/>
        </w:rPr>
        <w:t xml:space="preserve"> criteria. </w:t>
      </w:r>
    </w:p>
    <w:p w14:paraId="7CF5FD96" w14:textId="2BCDF71E" w:rsidR="0053090A" w:rsidRDefault="000538AD" w:rsidP="00FB1191">
      <w:pPr>
        <w:jc w:val="both"/>
        <w:rPr>
          <w:lang w:val="en-GB"/>
        </w:rPr>
      </w:pPr>
      <w:r>
        <w:rPr>
          <w:lang w:val="en-GB"/>
        </w:rPr>
        <w:t>System load diversity will be applied on both heating and DHW</w:t>
      </w:r>
      <w:r w:rsidR="007452CE">
        <w:rPr>
          <w:lang w:val="en-GB"/>
        </w:rPr>
        <w:t xml:space="preserve"> in line with</w:t>
      </w:r>
      <w:r>
        <w:rPr>
          <w:lang w:val="en-GB"/>
        </w:rPr>
        <w:t xml:space="preserve"> the </w:t>
      </w:r>
      <w:r w:rsidR="000A6A10">
        <w:rPr>
          <w:lang w:val="en-GB"/>
        </w:rPr>
        <w:t>diversity criteri</w:t>
      </w:r>
      <w:r w:rsidR="00E961FE">
        <w:rPr>
          <w:lang w:val="en-GB"/>
        </w:rPr>
        <w:t>on</w:t>
      </w:r>
      <w:r w:rsidR="000A6A10">
        <w:rPr>
          <w:lang w:val="en-GB"/>
        </w:rPr>
        <w:t xml:space="preserve"> recommended in CP1</w:t>
      </w:r>
      <w:r w:rsidR="00E961FE">
        <w:rPr>
          <w:lang w:val="en-GB"/>
        </w:rPr>
        <w:t xml:space="preserve"> (2020)</w:t>
      </w:r>
      <w:r w:rsidR="00775741">
        <w:rPr>
          <w:lang w:val="en-GB"/>
        </w:rPr>
        <w:t>:</w:t>
      </w:r>
    </w:p>
    <w:p w14:paraId="578004AB" w14:textId="77777777" w:rsidR="00A70B26" w:rsidRPr="00C25DFD" w:rsidRDefault="00A70B26" w:rsidP="00A70B26">
      <w:pPr>
        <w:pStyle w:val="ListParagraph"/>
        <w:numPr>
          <w:ilvl w:val="0"/>
          <w:numId w:val="3"/>
        </w:numPr>
        <w:jc w:val="both"/>
        <w:rPr>
          <w:rFonts w:asciiTheme="minorHAnsi" w:hAnsiTheme="minorHAnsi" w:cstheme="minorHAnsi"/>
        </w:rPr>
      </w:pPr>
      <w:r w:rsidRPr="00C25DFD">
        <w:rPr>
          <w:rFonts w:asciiTheme="minorHAnsi" w:hAnsiTheme="minorHAnsi" w:cstheme="minorHAnsi"/>
          <w:sz w:val="22"/>
          <w:szCs w:val="22"/>
        </w:rPr>
        <w:t xml:space="preserve">For DHW the DS 439 flow rate diversity has been applied </w:t>
      </w:r>
    </w:p>
    <w:p w14:paraId="2BD9A447" w14:textId="3BF309AD" w:rsidR="00A70B26" w:rsidRDefault="00A70B26" w:rsidP="00612207">
      <w:pPr>
        <w:pStyle w:val="ListParagraph"/>
        <w:numPr>
          <w:ilvl w:val="0"/>
          <w:numId w:val="3"/>
        </w:numPr>
        <w:spacing w:before="240" w:after="120"/>
        <w:jc w:val="both"/>
        <w:rPr>
          <w:rFonts w:asciiTheme="minorHAnsi" w:hAnsiTheme="minorHAnsi" w:cstheme="minorHAnsi"/>
          <w:sz w:val="22"/>
          <w:szCs w:val="22"/>
        </w:rPr>
      </w:pPr>
      <w:r>
        <w:rPr>
          <w:rFonts w:asciiTheme="minorHAnsi" w:hAnsiTheme="minorHAnsi" w:cstheme="minorHAnsi"/>
          <w:sz w:val="22"/>
          <w:szCs w:val="22"/>
        </w:rPr>
        <w:t xml:space="preserve">For space heating </w:t>
      </w:r>
      <w:r w:rsidR="00BD2A27">
        <w:rPr>
          <w:rFonts w:asciiTheme="minorHAnsi" w:hAnsiTheme="minorHAnsi" w:cstheme="minorHAnsi"/>
          <w:sz w:val="22"/>
          <w:szCs w:val="22"/>
        </w:rPr>
        <w:t xml:space="preserve">the Danish space heating diversity (up to 62%) has been applied </w:t>
      </w:r>
    </w:p>
    <w:p w14:paraId="7E2741D3" w14:textId="70C4A8D9" w:rsidR="00D46392" w:rsidRDefault="00D46392" w:rsidP="00C25DFD">
      <w:pPr>
        <w:jc w:val="both"/>
        <w:rPr>
          <w:lang w:val="en-GB"/>
        </w:rPr>
      </w:pPr>
    </w:p>
    <w:p w14:paraId="563E1737" w14:textId="153E37B3" w:rsidR="00E1520C" w:rsidRPr="007C1E87" w:rsidRDefault="00B22E55" w:rsidP="00C25DFD">
      <w:pPr>
        <w:jc w:val="both"/>
        <w:rPr>
          <w:lang w:val="en-GB"/>
        </w:rPr>
      </w:pPr>
      <w:r w:rsidRPr="00755CF6">
        <w:rPr>
          <w:lang w:val="en-GB"/>
        </w:rPr>
        <w:lastRenderedPageBreak/>
        <w:t>Velocities below</w:t>
      </w:r>
      <w:r w:rsidR="007E1C92" w:rsidRPr="00755CF6">
        <w:rPr>
          <w:lang w:val="en-GB"/>
        </w:rPr>
        <w:t xml:space="preserve"> 1.5 m/s in </w:t>
      </w:r>
      <w:r w:rsidR="00E1520C" w:rsidRPr="00755CF6">
        <w:rPr>
          <w:lang w:val="en-GB"/>
        </w:rPr>
        <w:t xml:space="preserve">terminals, laterals and </w:t>
      </w:r>
      <w:r w:rsidR="007E1C92" w:rsidRPr="00755CF6">
        <w:rPr>
          <w:lang w:val="en-GB"/>
        </w:rPr>
        <w:t>risers and</w:t>
      </w:r>
      <w:r w:rsidR="00E1520C" w:rsidRPr="00755CF6">
        <w:rPr>
          <w:lang w:val="en-GB"/>
        </w:rPr>
        <w:t xml:space="preserve"> pressures below </w:t>
      </w:r>
      <w:r w:rsidR="00755CF6" w:rsidRPr="00755CF6">
        <w:rPr>
          <w:lang w:val="en-GB"/>
        </w:rPr>
        <w:t>3</w:t>
      </w:r>
      <w:r w:rsidR="00E1520C" w:rsidRPr="00755CF6">
        <w:rPr>
          <w:lang w:val="en-GB"/>
        </w:rPr>
        <w:t>00 Pa/m in supply.</w:t>
      </w:r>
      <w:r w:rsidR="007E1C92" w:rsidRPr="00755CF6">
        <w:rPr>
          <w:lang w:val="en-GB"/>
        </w:rPr>
        <w:t xml:space="preserve"> distribution.</w:t>
      </w:r>
      <w:r w:rsidR="007E1C92">
        <w:rPr>
          <w:lang w:val="en-GB"/>
        </w:rPr>
        <w:t xml:space="preserve"> </w:t>
      </w:r>
    </w:p>
    <w:p w14:paraId="25C26FBF" w14:textId="45C65B5B" w:rsidR="004F0FC3" w:rsidRDefault="004F0FC3" w:rsidP="00C25DFD">
      <w:pPr>
        <w:jc w:val="both"/>
        <w:rPr>
          <w:rFonts w:cstheme="minorHAnsi"/>
          <w:b/>
          <w:bCs/>
        </w:rPr>
      </w:pPr>
      <w:r>
        <w:rPr>
          <w:rFonts w:cstheme="minorHAnsi"/>
          <w:b/>
          <w:bCs/>
        </w:rPr>
        <w:t xml:space="preserve">Pipe insulation </w:t>
      </w:r>
    </w:p>
    <w:p w14:paraId="163FF064" w14:textId="188528F8" w:rsidR="0065288B" w:rsidRDefault="00793EB8" w:rsidP="00FB1191">
      <w:pPr>
        <w:jc w:val="both"/>
      </w:pPr>
      <w:r>
        <w:t>The p</w:t>
      </w:r>
      <w:r w:rsidR="00E2704B">
        <w:t>roposed</w:t>
      </w:r>
      <w:r w:rsidR="00607E03">
        <w:t xml:space="preserve"> system </w:t>
      </w:r>
      <w:proofErr w:type="gramStart"/>
      <w:r w:rsidR="009B2F52">
        <w:t xml:space="preserve">follows </w:t>
      </w:r>
      <w:r w:rsidR="004804F7">
        <w:t xml:space="preserve"> </w:t>
      </w:r>
      <w:r w:rsidR="005F5B01">
        <w:t>CP</w:t>
      </w:r>
      <w:proofErr w:type="gramEnd"/>
      <w:r w:rsidR="005F5B01">
        <w:t>1</w:t>
      </w:r>
      <w:r w:rsidR="00E961FE">
        <w:t xml:space="preserve"> (2020)</w:t>
      </w:r>
      <w:r w:rsidR="00A32A5E">
        <w:t xml:space="preserve"> </w:t>
      </w:r>
      <w:r w:rsidR="002A72DF">
        <w:t>insulation requirements</w:t>
      </w:r>
      <w:r w:rsidR="00A32A5E">
        <w:t xml:space="preserve">. </w:t>
      </w:r>
      <w:r w:rsidR="003C3C46">
        <w:t>Insulation material will be phenolic foam (0.025W/</w:t>
      </w:r>
      <w:proofErr w:type="spellStart"/>
      <w:r w:rsidR="003C3C46">
        <w:t>m</w:t>
      </w:r>
      <w:r w:rsidR="003C3C46">
        <w:rPr>
          <w:rFonts w:cstheme="minorHAnsi"/>
        </w:rPr>
        <w:t>·</w:t>
      </w:r>
      <w:r w:rsidR="004E5A7C">
        <w:rPr>
          <w:rFonts w:cstheme="minorHAnsi"/>
        </w:rPr>
        <w:t>k</w:t>
      </w:r>
      <w:proofErr w:type="spellEnd"/>
      <w:r w:rsidR="004E5A7C">
        <w:rPr>
          <w:rFonts w:cstheme="minorHAnsi"/>
        </w:rPr>
        <w:t xml:space="preserve">). </w:t>
      </w:r>
      <w:r w:rsidR="00FB6C4B">
        <w:t xml:space="preserve">According to </w:t>
      </w:r>
      <w:r w:rsidR="003C3C46" w:rsidRPr="00F24EA3">
        <w:rPr>
          <w:i/>
          <w:iCs/>
        </w:rPr>
        <w:t>Table 8: Minimum insulation thicknesses for pipework in internal and external spaces</w:t>
      </w:r>
      <w:r w:rsidR="00FB6C4B">
        <w:t xml:space="preserve"> all insulation is 50</w:t>
      </w:r>
      <w:r w:rsidR="00E961FE">
        <w:t xml:space="preserve"> </w:t>
      </w:r>
      <w:r w:rsidR="00FB6C4B">
        <w:t>mm thick</w:t>
      </w:r>
      <w:r w:rsidR="006B0EA5">
        <w:t>.</w:t>
      </w:r>
      <w:r w:rsidR="00FB6C4B">
        <w:t xml:space="preserve"> </w:t>
      </w:r>
      <w:r w:rsidR="001C27BA">
        <w:t xml:space="preserve">However, </w:t>
      </w:r>
      <w:r w:rsidR="004E5A7C">
        <w:t xml:space="preserve">an exception has been made on the HIU drop down pipe because the narrow distance between connections doesn’t generally allow </w:t>
      </w:r>
      <w:r w:rsidR="006171CC">
        <w:t>the installation of 50 mm insulation.</w:t>
      </w:r>
    </w:p>
    <w:p w14:paraId="6B84A51A" w14:textId="037A5E51" w:rsidR="001C27BA" w:rsidRPr="00C25DFD" w:rsidRDefault="0065288B" w:rsidP="00C25DFD">
      <w:pPr>
        <w:jc w:val="both"/>
      </w:pPr>
      <w:r>
        <w:t xml:space="preserve">The </w:t>
      </w:r>
      <w:r w:rsidR="00753289" w:rsidRPr="00887E22">
        <w:rPr>
          <w:rFonts w:cstheme="minorHAnsi"/>
        </w:rPr>
        <w:t>insulation will be as follows:</w:t>
      </w:r>
    </w:p>
    <w:p w14:paraId="3CE35E50" w14:textId="77777777" w:rsidR="00D76CAB" w:rsidRDefault="00D76CAB" w:rsidP="00D76CAB">
      <w:pPr>
        <w:pStyle w:val="ListParagraph"/>
        <w:numPr>
          <w:ilvl w:val="0"/>
          <w:numId w:val="5"/>
        </w:numPr>
        <w:jc w:val="both"/>
        <w:rPr>
          <w:rFonts w:asciiTheme="minorHAnsi" w:hAnsiTheme="minorHAnsi" w:cstheme="minorHAnsi"/>
          <w:sz w:val="22"/>
          <w:szCs w:val="22"/>
        </w:rPr>
      </w:pPr>
      <w:r>
        <w:rPr>
          <w:rFonts w:asciiTheme="minorHAnsi" w:hAnsiTheme="minorHAnsi" w:cstheme="minorHAnsi"/>
          <w:sz w:val="22"/>
          <w:szCs w:val="22"/>
        </w:rPr>
        <w:t>Supply</w:t>
      </w:r>
      <w:r w:rsidRPr="00887E22">
        <w:rPr>
          <w:rFonts w:asciiTheme="minorHAnsi" w:hAnsiTheme="minorHAnsi" w:cstheme="minorHAnsi"/>
          <w:sz w:val="22"/>
          <w:szCs w:val="22"/>
        </w:rPr>
        <w:t xml:space="preserve"> 50mm</w:t>
      </w:r>
    </w:p>
    <w:p w14:paraId="79A5F7E1" w14:textId="77777777" w:rsidR="00D76CAB" w:rsidRDefault="00D76CAB" w:rsidP="00D76CAB">
      <w:pPr>
        <w:pStyle w:val="ListParagraph"/>
        <w:numPr>
          <w:ilvl w:val="0"/>
          <w:numId w:val="5"/>
        </w:numPr>
        <w:jc w:val="both"/>
        <w:rPr>
          <w:rFonts w:asciiTheme="minorHAnsi" w:hAnsiTheme="minorHAnsi" w:cstheme="minorHAnsi"/>
          <w:sz w:val="22"/>
          <w:szCs w:val="22"/>
        </w:rPr>
      </w:pPr>
      <w:r w:rsidRPr="00887E22">
        <w:rPr>
          <w:rFonts w:asciiTheme="minorHAnsi" w:hAnsiTheme="minorHAnsi" w:cstheme="minorHAnsi"/>
          <w:sz w:val="22"/>
          <w:szCs w:val="22"/>
        </w:rPr>
        <w:t>Risers 50 mm</w:t>
      </w:r>
    </w:p>
    <w:p w14:paraId="6F236FB7" w14:textId="77777777" w:rsidR="00D76CAB" w:rsidRDefault="00D76CAB" w:rsidP="00D76CAB">
      <w:pPr>
        <w:pStyle w:val="ListParagraph"/>
        <w:numPr>
          <w:ilvl w:val="0"/>
          <w:numId w:val="5"/>
        </w:numPr>
        <w:jc w:val="both"/>
        <w:rPr>
          <w:rFonts w:asciiTheme="minorHAnsi" w:hAnsiTheme="minorHAnsi" w:cstheme="minorHAnsi"/>
          <w:sz w:val="22"/>
          <w:szCs w:val="22"/>
        </w:rPr>
      </w:pPr>
      <w:r w:rsidRPr="00887E22">
        <w:rPr>
          <w:rFonts w:asciiTheme="minorHAnsi" w:hAnsiTheme="minorHAnsi" w:cstheme="minorHAnsi"/>
          <w:sz w:val="22"/>
          <w:szCs w:val="22"/>
        </w:rPr>
        <w:t xml:space="preserve">Laterals </w:t>
      </w:r>
      <w:r>
        <w:rPr>
          <w:rFonts w:asciiTheme="minorHAnsi" w:hAnsiTheme="minorHAnsi" w:cstheme="minorHAnsi"/>
          <w:sz w:val="22"/>
          <w:szCs w:val="22"/>
        </w:rPr>
        <w:t>50</w:t>
      </w:r>
      <w:r w:rsidRPr="00887E22">
        <w:rPr>
          <w:rFonts w:asciiTheme="minorHAnsi" w:hAnsiTheme="minorHAnsi" w:cstheme="minorHAnsi"/>
          <w:sz w:val="22"/>
          <w:szCs w:val="22"/>
        </w:rPr>
        <w:t xml:space="preserve"> mm</w:t>
      </w:r>
    </w:p>
    <w:p w14:paraId="3D81BEC9" w14:textId="77777777" w:rsidR="00D76CAB" w:rsidRDefault="00D76CAB" w:rsidP="00D76CAB">
      <w:pPr>
        <w:pStyle w:val="ListParagraph"/>
        <w:numPr>
          <w:ilvl w:val="0"/>
          <w:numId w:val="5"/>
        </w:numPr>
        <w:jc w:val="both"/>
        <w:rPr>
          <w:rFonts w:asciiTheme="minorHAnsi" w:hAnsiTheme="minorHAnsi" w:cstheme="minorHAnsi"/>
          <w:sz w:val="22"/>
          <w:szCs w:val="22"/>
        </w:rPr>
      </w:pPr>
      <w:r>
        <w:rPr>
          <w:rFonts w:asciiTheme="minorHAnsi" w:hAnsiTheme="minorHAnsi" w:cstheme="minorHAnsi"/>
          <w:sz w:val="22"/>
          <w:szCs w:val="22"/>
        </w:rPr>
        <w:t>Terminal runs</w:t>
      </w:r>
      <w:r w:rsidRPr="00887E22">
        <w:rPr>
          <w:rFonts w:asciiTheme="minorHAnsi" w:hAnsiTheme="minorHAnsi" w:cstheme="minorHAnsi"/>
          <w:sz w:val="22"/>
          <w:szCs w:val="22"/>
        </w:rPr>
        <w:t xml:space="preserve"> </w:t>
      </w:r>
      <w:r>
        <w:rPr>
          <w:rFonts w:asciiTheme="minorHAnsi" w:hAnsiTheme="minorHAnsi" w:cstheme="minorHAnsi"/>
          <w:sz w:val="22"/>
          <w:szCs w:val="22"/>
        </w:rPr>
        <w:t>5</w:t>
      </w:r>
      <w:r w:rsidRPr="00887E22">
        <w:rPr>
          <w:rFonts w:asciiTheme="minorHAnsi" w:hAnsiTheme="minorHAnsi" w:cstheme="minorHAnsi"/>
          <w:sz w:val="22"/>
          <w:szCs w:val="22"/>
        </w:rPr>
        <w:t>0 mm</w:t>
      </w:r>
    </w:p>
    <w:p w14:paraId="3580EFE0" w14:textId="77777777" w:rsidR="00D76CAB" w:rsidRPr="00887E22" w:rsidRDefault="00D76CAB" w:rsidP="00D76CAB">
      <w:pPr>
        <w:pStyle w:val="ListParagraph"/>
        <w:numPr>
          <w:ilvl w:val="0"/>
          <w:numId w:val="5"/>
        </w:numPr>
        <w:jc w:val="both"/>
        <w:rPr>
          <w:rFonts w:asciiTheme="minorHAnsi" w:hAnsiTheme="minorHAnsi" w:cstheme="minorHAnsi"/>
          <w:sz w:val="22"/>
          <w:szCs w:val="22"/>
        </w:rPr>
      </w:pPr>
      <w:r>
        <w:rPr>
          <w:rFonts w:asciiTheme="minorHAnsi" w:hAnsiTheme="minorHAnsi" w:cstheme="minorHAnsi"/>
          <w:sz w:val="22"/>
          <w:szCs w:val="22"/>
        </w:rPr>
        <w:t xml:space="preserve">HIU drop down 30 mm </w:t>
      </w:r>
    </w:p>
    <w:p w14:paraId="499FFDDB" w14:textId="77777777" w:rsidR="00887E22" w:rsidRDefault="00887E22" w:rsidP="00C25DFD">
      <w:pPr>
        <w:pStyle w:val="ListParagraph"/>
        <w:ind w:left="1080"/>
        <w:jc w:val="both"/>
      </w:pPr>
    </w:p>
    <w:p w14:paraId="49121C03" w14:textId="1BE98A46" w:rsidR="003F027B" w:rsidRDefault="002E2902" w:rsidP="00C25DFD">
      <w:pPr>
        <w:jc w:val="both"/>
      </w:pPr>
      <w:r>
        <w:t xml:space="preserve">These values are not </w:t>
      </w:r>
      <w:r w:rsidR="00D917C3">
        <w:t>recommended</w:t>
      </w:r>
      <w:r w:rsidR="00765CDA">
        <w:t xml:space="preserve"> and</w:t>
      </w:r>
      <w:r w:rsidR="004454B3">
        <w:t xml:space="preserve"> are</w:t>
      </w:r>
      <w:r w:rsidR="00765CDA">
        <w:t xml:space="preserve"> just proposed for the </w:t>
      </w:r>
      <w:r w:rsidR="00942535">
        <w:t xml:space="preserve">purpose of providing </w:t>
      </w:r>
      <w:r w:rsidR="00765CDA">
        <w:t>r</w:t>
      </w:r>
      <w:r w:rsidR="00C428F2">
        <w:t>eference building</w:t>
      </w:r>
      <w:r w:rsidR="00765CDA">
        <w:t xml:space="preserve"> heat loss calculations.</w:t>
      </w:r>
    </w:p>
    <w:p w14:paraId="2313E5F4" w14:textId="77777777" w:rsidR="002A541E" w:rsidRPr="004353C1" w:rsidRDefault="002A541E" w:rsidP="002A541E">
      <w:pPr>
        <w:pStyle w:val="Heading1"/>
        <w:rPr>
          <w:rFonts w:asciiTheme="minorHAnsi" w:hAnsiTheme="minorHAnsi" w:cstheme="minorHAnsi"/>
          <w:szCs w:val="22"/>
        </w:rPr>
      </w:pPr>
      <w:r>
        <w:rPr>
          <w:rFonts w:asciiTheme="minorHAnsi" w:hAnsiTheme="minorHAnsi" w:cstheme="minorHAnsi"/>
          <w:szCs w:val="22"/>
        </w:rPr>
        <w:t xml:space="preserve">Results summary </w:t>
      </w:r>
    </w:p>
    <w:p w14:paraId="4D698A05" w14:textId="77777777" w:rsidR="002A541E" w:rsidRPr="00C25DFD" w:rsidRDefault="002A541E" w:rsidP="002A541E">
      <w:pPr>
        <w:jc w:val="both"/>
        <w:rPr>
          <w:b/>
          <w:bCs/>
        </w:rPr>
      </w:pPr>
      <w:r w:rsidRPr="00C25DFD">
        <w:rPr>
          <w:b/>
          <w:bCs/>
        </w:rPr>
        <w:t xml:space="preserve">Heat Loss model </w:t>
      </w:r>
    </w:p>
    <w:tbl>
      <w:tblPr>
        <w:tblStyle w:val="TableGrid"/>
        <w:tblW w:w="5000" w:type="pct"/>
        <w:tblLook w:val="04A0" w:firstRow="1" w:lastRow="0" w:firstColumn="1" w:lastColumn="0" w:noHBand="0" w:noVBand="1"/>
      </w:tblPr>
      <w:tblGrid>
        <w:gridCol w:w="2656"/>
        <w:gridCol w:w="1775"/>
        <w:gridCol w:w="1467"/>
        <w:gridCol w:w="1775"/>
        <w:gridCol w:w="1650"/>
      </w:tblGrid>
      <w:tr w:rsidR="002A541E" w14:paraId="7D96B623" w14:textId="77777777" w:rsidTr="00956EB5">
        <w:tc>
          <w:tcPr>
            <w:tcW w:w="1424" w:type="pct"/>
            <w:vMerge w:val="restart"/>
            <w:shd w:val="clear" w:color="auto" w:fill="C00000"/>
            <w:vAlign w:val="center"/>
          </w:tcPr>
          <w:p w14:paraId="64E0CD7D" w14:textId="77777777" w:rsidR="002A541E" w:rsidRPr="00C25DFD" w:rsidRDefault="002A541E" w:rsidP="00956EB5">
            <w:pPr>
              <w:jc w:val="both"/>
              <w:rPr>
                <w:sz w:val="22"/>
                <w:szCs w:val="22"/>
              </w:rPr>
            </w:pPr>
            <w:r w:rsidRPr="00C25DFD">
              <w:rPr>
                <w:sz w:val="22"/>
                <w:szCs w:val="22"/>
              </w:rPr>
              <w:t>Heat losses</w:t>
            </w:r>
          </w:p>
        </w:tc>
        <w:tc>
          <w:tcPr>
            <w:tcW w:w="1739" w:type="pct"/>
            <w:gridSpan w:val="2"/>
            <w:shd w:val="clear" w:color="auto" w:fill="C00000"/>
            <w:vAlign w:val="center"/>
          </w:tcPr>
          <w:p w14:paraId="1F380EED" w14:textId="77777777" w:rsidR="002A541E" w:rsidRPr="00C25DFD" w:rsidRDefault="002A541E" w:rsidP="00956EB5">
            <w:pPr>
              <w:jc w:val="center"/>
              <w:rPr>
                <w:sz w:val="22"/>
                <w:szCs w:val="22"/>
              </w:rPr>
            </w:pPr>
            <w:r w:rsidRPr="00C25DFD">
              <w:rPr>
                <w:sz w:val="22"/>
                <w:szCs w:val="22"/>
              </w:rPr>
              <w:t>High temperature</w:t>
            </w:r>
          </w:p>
        </w:tc>
        <w:tc>
          <w:tcPr>
            <w:tcW w:w="1837" w:type="pct"/>
            <w:gridSpan w:val="2"/>
            <w:shd w:val="clear" w:color="auto" w:fill="C00000"/>
            <w:vAlign w:val="center"/>
          </w:tcPr>
          <w:p w14:paraId="44A15DC2" w14:textId="77777777" w:rsidR="002A541E" w:rsidRPr="00C25DFD" w:rsidRDefault="002A541E" w:rsidP="00956EB5">
            <w:pPr>
              <w:jc w:val="center"/>
              <w:rPr>
                <w:sz w:val="22"/>
                <w:szCs w:val="22"/>
              </w:rPr>
            </w:pPr>
            <w:r w:rsidRPr="00C25DFD">
              <w:rPr>
                <w:sz w:val="22"/>
                <w:szCs w:val="22"/>
              </w:rPr>
              <w:t>Low temperature</w:t>
            </w:r>
          </w:p>
        </w:tc>
      </w:tr>
      <w:tr w:rsidR="002A541E" w14:paraId="7276A65F" w14:textId="77777777" w:rsidTr="00956EB5">
        <w:tc>
          <w:tcPr>
            <w:tcW w:w="1424" w:type="pct"/>
            <w:vMerge/>
            <w:shd w:val="clear" w:color="auto" w:fill="C00000"/>
          </w:tcPr>
          <w:p w14:paraId="19D654AD" w14:textId="77777777" w:rsidR="002A541E" w:rsidRPr="00C25DFD" w:rsidRDefault="002A541E" w:rsidP="00956EB5">
            <w:pPr>
              <w:jc w:val="both"/>
              <w:rPr>
                <w:sz w:val="22"/>
                <w:szCs w:val="22"/>
              </w:rPr>
            </w:pPr>
          </w:p>
        </w:tc>
        <w:tc>
          <w:tcPr>
            <w:tcW w:w="952" w:type="pct"/>
            <w:shd w:val="clear" w:color="auto" w:fill="C00000"/>
            <w:vAlign w:val="center"/>
          </w:tcPr>
          <w:p w14:paraId="4E7B4358" w14:textId="77777777" w:rsidR="002A541E" w:rsidRPr="00C25DFD" w:rsidRDefault="002A541E" w:rsidP="00956EB5">
            <w:pPr>
              <w:jc w:val="center"/>
              <w:rPr>
                <w:sz w:val="22"/>
                <w:szCs w:val="22"/>
              </w:rPr>
            </w:pPr>
            <w:r w:rsidRPr="00C25DFD">
              <w:rPr>
                <w:sz w:val="22"/>
                <w:szCs w:val="22"/>
              </w:rPr>
              <w:t>Conventional</w:t>
            </w:r>
          </w:p>
        </w:tc>
        <w:tc>
          <w:tcPr>
            <w:tcW w:w="787" w:type="pct"/>
            <w:shd w:val="clear" w:color="auto" w:fill="C00000"/>
            <w:vAlign w:val="center"/>
          </w:tcPr>
          <w:p w14:paraId="69D36048" w14:textId="77777777" w:rsidR="002A541E" w:rsidRPr="00C25DFD" w:rsidRDefault="002A541E" w:rsidP="00956EB5">
            <w:pPr>
              <w:jc w:val="center"/>
              <w:rPr>
                <w:sz w:val="22"/>
                <w:szCs w:val="22"/>
              </w:rPr>
            </w:pPr>
            <w:r w:rsidRPr="00C25DFD">
              <w:rPr>
                <w:sz w:val="22"/>
                <w:szCs w:val="22"/>
              </w:rPr>
              <w:t>Multi-riser</w:t>
            </w:r>
          </w:p>
        </w:tc>
        <w:tc>
          <w:tcPr>
            <w:tcW w:w="952" w:type="pct"/>
            <w:shd w:val="clear" w:color="auto" w:fill="C00000"/>
            <w:vAlign w:val="center"/>
          </w:tcPr>
          <w:p w14:paraId="6D2197C6" w14:textId="77777777" w:rsidR="002A541E" w:rsidRPr="00C25DFD" w:rsidRDefault="002A541E" w:rsidP="00956EB5">
            <w:pPr>
              <w:jc w:val="center"/>
              <w:rPr>
                <w:sz w:val="22"/>
                <w:szCs w:val="22"/>
              </w:rPr>
            </w:pPr>
            <w:r w:rsidRPr="00C25DFD">
              <w:rPr>
                <w:sz w:val="22"/>
                <w:szCs w:val="22"/>
              </w:rPr>
              <w:t>Conventional</w:t>
            </w:r>
          </w:p>
        </w:tc>
        <w:tc>
          <w:tcPr>
            <w:tcW w:w="885" w:type="pct"/>
            <w:shd w:val="clear" w:color="auto" w:fill="C00000"/>
            <w:vAlign w:val="center"/>
          </w:tcPr>
          <w:p w14:paraId="3CC87D2B" w14:textId="77777777" w:rsidR="002A541E" w:rsidRPr="00C25DFD" w:rsidRDefault="002A541E" w:rsidP="00956EB5">
            <w:pPr>
              <w:jc w:val="center"/>
              <w:rPr>
                <w:sz w:val="22"/>
                <w:szCs w:val="22"/>
              </w:rPr>
            </w:pPr>
            <w:r w:rsidRPr="00C25DFD">
              <w:rPr>
                <w:sz w:val="22"/>
                <w:szCs w:val="22"/>
              </w:rPr>
              <w:t>Multi – riser</w:t>
            </w:r>
          </w:p>
        </w:tc>
      </w:tr>
      <w:tr w:rsidR="002A541E" w14:paraId="3F5D1978" w14:textId="77777777" w:rsidTr="00956EB5">
        <w:tc>
          <w:tcPr>
            <w:tcW w:w="1424" w:type="pct"/>
            <w:shd w:val="clear" w:color="auto" w:fill="C00000"/>
            <w:vAlign w:val="bottom"/>
          </w:tcPr>
          <w:p w14:paraId="4CD97CDA" w14:textId="77777777" w:rsidR="002A541E" w:rsidRPr="008C412D" w:rsidRDefault="002A541E" w:rsidP="00956EB5">
            <w:pPr>
              <w:jc w:val="both"/>
              <w:rPr>
                <w:sz w:val="22"/>
                <w:szCs w:val="22"/>
              </w:rPr>
            </w:pPr>
            <w:r w:rsidRPr="008C412D">
              <w:rPr>
                <w:rFonts w:ascii="Calibri" w:hAnsi="Calibri" w:cs="Calibri"/>
                <w:color w:val="FFFFFF"/>
                <w:sz w:val="22"/>
                <w:szCs w:val="22"/>
              </w:rPr>
              <w:t>Supply</w:t>
            </w:r>
            <w:r>
              <w:rPr>
                <w:rFonts w:ascii="Calibri" w:hAnsi="Calibri" w:cs="Calibri"/>
                <w:color w:val="FFFFFF"/>
                <w:sz w:val="22"/>
                <w:szCs w:val="22"/>
              </w:rPr>
              <w:t xml:space="preserve"> (kW)</w:t>
            </w:r>
          </w:p>
        </w:tc>
        <w:tc>
          <w:tcPr>
            <w:tcW w:w="952" w:type="pct"/>
            <w:vAlign w:val="bottom"/>
          </w:tcPr>
          <w:p w14:paraId="4E97983A" w14:textId="77777777" w:rsidR="002A541E" w:rsidRPr="005E655A" w:rsidRDefault="002A541E" w:rsidP="00956EB5">
            <w:pPr>
              <w:jc w:val="center"/>
              <w:rPr>
                <w:sz w:val="22"/>
                <w:szCs w:val="22"/>
              </w:rPr>
            </w:pPr>
            <w:r w:rsidRPr="005E655A">
              <w:rPr>
                <w:rFonts w:ascii="Calibri" w:hAnsi="Calibri" w:cs="Calibri"/>
                <w:sz w:val="22"/>
                <w:szCs w:val="22"/>
              </w:rPr>
              <w:t>1.28</w:t>
            </w:r>
          </w:p>
        </w:tc>
        <w:tc>
          <w:tcPr>
            <w:tcW w:w="787" w:type="pct"/>
            <w:vAlign w:val="bottom"/>
          </w:tcPr>
          <w:p w14:paraId="28B7CB87" w14:textId="77777777" w:rsidR="002A541E" w:rsidRPr="00AB1279" w:rsidRDefault="002A541E" w:rsidP="00956EB5">
            <w:pPr>
              <w:jc w:val="center"/>
              <w:rPr>
                <w:sz w:val="22"/>
                <w:szCs w:val="22"/>
              </w:rPr>
            </w:pPr>
            <w:r w:rsidRPr="00AB1279">
              <w:rPr>
                <w:rFonts w:ascii="Calibri" w:hAnsi="Calibri" w:cs="Calibri"/>
                <w:sz w:val="22"/>
                <w:szCs w:val="22"/>
              </w:rPr>
              <w:t>1.99</w:t>
            </w:r>
          </w:p>
        </w:tc>
        <w:tc>
          <w:tcPr>
            <w:tcW w:w="952" w:type="pct"/>
            <w:vAlign w:val="bottom"/>
          </w:tcPr>
          <w:p w14:paraId="2E07C772" w14:textId="77777777" w:rsidR="002A541E" w:rsidRPr="00A00AF5" w:rsidRDefault="002A541E" w:rsidP="00956EB5">
            <w:pPr>
              <w:jc w:val="center"/>
              <w:rPr>
                <w:sz w:val="22"/>
                <w:szCs w:val="22"/>
              </w:rPr>
            </w:pPr>
            <w:r w:rsidRPr="00A00AF5">
              <w:rPr>
                <w:rFonts w:ascii="Calibri" w:hAnsi="Calibri" w:cs="Calibri"/>
                <w:sz w:val="22"/>
                <w:szCs w:val="22"/>
              </w:rPr>
              <w:t>1.28</w:t>
            </w:r>
          </w:p>
        </w:tc>
        <w:tc>
          <w:tcPr>
            <w:tcW w:w="885" w:type="pct"/>
            <w:vAlign w:val="bottom"/>
          </w:tcPr>
          <w:p w14:paraId="7B7B2C3D" w14:textId="77777777" w:rsidR="002A541E" w:rsidRPr="0052796E" w:rsidRDefault="002A541E" w:rsidP="00956EB5">
            <w:pPr>
              <w:jc w:val="center"/>
              <w:rPr>
                <w:sz w:val="22"/>
                <w:szCs w:val="22"/>
              </w:rPr>
            </w:pPr>
            <w:r w:rsidRPr="0052796E">
              <w:rPr>
                <w:rFonts w:ascii="Calibri" w:hAnsi="Calibri" w:cs="Calibri"/>
                <w:sz w:val="22"/>
                <w:szCs w:val="22"/>
              </w:rPr>
              <w:t>1.96</w:t>
            </w:r>
          </w:p>
        </w:tc>
      </w:tr>
      <w:tr w:rsidR="002A541E" w14:paraId="0611966F" w14:textId="77777777" w:rsidTr="00956EB5">
        <w:tc>
          <w:tcPr>
            <w:tcW w:w="1424" w:type="pct"/>
            <w:shd w:val="clear" w:color="auto" w:fill="C00000"/>
            <w:vAlign w:val="bottom"/>
          </w:tcPr>
          <w:p w14:paraId="71A6ED6D" w14:textId="77777777" w:rsidR="002A541E" w:rsidRPr="008C412D" w:rsidRDefault="002A541E" w:rsidP="00956EB5">
            <w:pPr>
              <w:jc w:val="both"/>
              <w:rPr>
                <w:sz w:val="22"/>
                <w:szCs w:val="22"/>
              </w:rPr>
            </w:pPr>
            <w:r w:rsidRPr="008C412D">
              <w:rPr>
                <w:rFonts w:ascii="Calibri" w:hAnsi="Calibri" w:cs="Calibri"/>
                <w:color w:val="FFFFFF"/>
                <w:sz w:val="22"/>
                <w:szCs w:val="22"/>
              </w:rPr>
              <w:t>Riser</w:t>
            </w:r>
            <w:r>
              <w:rPr>
                <w:rFonts w:ascii="Calibri" w:hAnsi="Calibri" w:cs="Calibri"/>
                <w:color w:val="FFFFFF"/>
                <w:sz w:val="22"/>
                <w:szCs w:val="22"/>
              </w:rPr>
              <w:t xml:space="preserve"> (kW)</w:t>
            </w:r>
          </w:p>
        </w:tc>
        <w:tc>
          <w:tcPr>
            <w:tcW w:w="952" w:type="pct"/>
            <w:vAlign w:val="bottom"/>
          </w:tcPr>
          <w:p w14:paraId="2BEF70D3" w14:textId="77777777" w:rsidR="002A541E" w:rsidRPr="005E655A" w:rsidRDefault="002A541E" w:rsidP="00956EB5">
            <w:pPr>
              <w:jc w:val="center"/>
              <w:rPr>
                <w:sz w:val="22"/>
                <w:szCs w:val="22"/>
              </w:rPr>
            </w:pPr>
            <w:r w:rsidRPr="005E655A">
              <w:rPr>
                <w:rFonts w:ascii="Calibri" w:hAnsi="Calibri" w:cs="Calibri"/>
                <w:sz w:val="22"/>
                <w:szCs w:val="22"/>
              </w:rPr>
              <w:t>0.71</w:t>
            </w:r>
          </w:p>
        </w:tc>
        <w:tc>
          <w:tcPr>
            <w:tcW w:w="787" w:type="pct"/>
            <w:vAlign w:val="bottom"/>
          </w:tcPr>
          <w:p w14:paraId="1BC81CCE" w14:textId="77777777" w:rsidR="002A541E" w:rsidRPr="00AB1279" w:rsidRDefault="002A541E" w:rsidP="00956EB5">
            <w:pPr>
              <w:jc w:val="center"/>
              <w:rPr>
                <w:sz w:val="22"/>
                <w:szCs w:val="22"/>
              </w:rPr>
            </w:pPr>
            <w:r w:rsidRPr="00AB1279">
              <w:rPr>
                <w:rFonts w:ascii="Calibri" w:hAnsi="Calibri" w:cs="Calibri"/>
                <w:sz w:val="22"/>
                <w:szCs w:val="22"/>
              </w:rPr>
              <w:t>1.91</w:t>
            </w:r>
          </w:p>
        </w:tc>
        <w:tc>
          <w:tcPr>
            <w:tcW w:w="952" w:type="pct"/>
            <w:vAlign w:val="bottom"/>
          </w:tcPr>
          <w:p w14:paraId="6705CF9E" w14:textId="77777777" w:rsidR="002A541E" w:rsidRPr="00A00AF5" w:rsidRDefault="002A541E" w:rsidP="00956EB5">
            <w:pPr>
              <w:jc w:val="center"/>
              <w:rPr>
                <w:sz w:val="22"/>
                <w:szCs w:val="22"/>
              </w:rPr>
            </w:pPr>
            <w:r w:rsidRPr="00A00AF5">
              <w:rPr>
                <w:rFonts w:ascii="Calibri" w:hAnsi="Calibri" w:cs="Calibri"/>
                <w:sz w:val="22"/>
                <w:szCs w:val="22"/>
              </w:rPr>
              <w:t>0.6</w:t>
            </w:r>
            <w:r>
              <w:rPr>
                <w:rFonts w:ascii="Calibri" w:hAnsi="Calibri" w:cs="Calibri"/>
                <w:sz w:val="22"/>
                <w:szCs w:val="22"/>
              </w:rPr>
              <w:t>2</w:t>
            </w:r>
          </w:p>
        </w:tc>
        <w:tc>
          <w:tcPr>
            <w:tcW w:w="885" w:type="pct"/>
            <w:vAlign w:val="bottom"/>
          </w:tcPr>
          <w:p w14:paraId="64FAD6DC" w14:textId="77777777" w:rsidR="002A541E" w:rsidRPr="0052796E" w:rsidRDefault="002A541E" w:rsidP="00956EB5">
            <w:pPr>
              <w:jc w:val="center"/>
              <w:rPr>
                <w:sz w:val="22"/>
                <w:szCs w:val="22"/>
              </w:rPr>
            </w:pPr>
            <w:r w:rsidRPr="0052796E">
              <w:rPr>
                <w:rFonts w:ascii="Calibri" w:hAnsi="Calibri" w:cs="Calibri"/>
                <w:sz w:val="22"/>
                <w:szCs w:val="22"/>
              </w:rPr>
              <w:t>1.58</w:t>
            </w:r>
          </w:p>
        </w:tc>
      </w:tr>
      <w:tr w:rsidR="002A541E" w14:paraId="5BC03A33" w14:textId="77777777" w:rsidTr="00956EB5">
        <w:tc>
          <w:tcPr>
            <w:tcW w:w="1424" w:type="pct"/>
            <w:shd w:val="clear" w:color="auto" w:fill="C00000"/>
            <w:vAlign w:val="bottom"/>
          </w:tcPr>
          <w:p w14:paraId="6BC4D200" w14:textId="77777777" w:rsidR="002A541E" w:rsidRPr="008C412D" w:rsidRDefault="002A541E" w:rsidP="00956EB5">
            <w:pPr>
              <w:jc w:val="both"/>
              <w:rPr>
                <w:sz w:val="22"/>
                <w:szCs w:val="22"/>
              </w:rPr>
            </w:pPr>
            <w:r w:rsidRPr="008C412D">
              <w:rPr>
                <w:rFonts w:ascii="Calibri" w:hAnsi="Calibri" w:cs="Calibri"/>
                <w:color w:val="FFFFFF"/>
                <w:sz w:val="22"/>
                <w:szCs w:val="22"/>
              </w:rPr>
              <w:t>Lateral</w:t>
            </w:r>
            <w:r>
              <w:rPr>
                <w:rFonts w:ascii="Calibri" w:hAnsi="Calibri" w:cs="Calibri"/>
                <w:color w:val="FFFFFF"/>
                <w:sz w:val="22"/>
                <w:szCs w:val="22"/>
              </w:rPr>
              <w:t xml:space="preserve"> (kW)</w:t>
            </w:r>
          </w:p>
        </w:tc>
        <w:tc>
          <w:tcPr>
            <w:tcW w:w="952" w:type="pct"/>
            <w:vAlign w:val="bottom"/>
          </w:tcPr>
          <w:p w14:paraId="78B9343F" w14:textId="77777777" w:rsidR="002A541E" w:rsidRPr="005E655A" w:rsidRDefault="002A541E" w:rsidP="00956EB5">
            <w:pPr>
              <w:jc w:val="center"/>
              <w:rPr>
                <w:sz w:val="22"/>
                <w:szCs w:val="22"/>
              </w:rPr>
            </w:pPr>
            <w:r w:rsidRPr="005E655A">
              <w:rPr>
                <w:rFonts w:ascii="Calibri" w:hAnsi="Calibri" w:cs="Calibri"/>
                <w:sz w:val="22"/>
                <w:szCs w:val="22"/>
              </w:rPr>
              <w:t>3.28</w:t>
            </w:r>
          </w:p>
        </w:tc>
        <w:tc>
          <w:tcPr>
            <w:tcW w:w="787" w:type="pct"/>
            <w:vAlign w:val="bottom"/>
          </w:tcPr>
          <w:p w14:paraId="7416449A" w14:textId="77777777" w:rsidR="002A541E" w:rsidRPr="00AB1279" w:rsidRDefault="002A541E" w:rsidP="00956EB5">
            <w:pPr>
              <w:jc w:val="center"/>
              <w:rPr>
                <w:sz w:val="22"/>
                <w:szCs w:val="22"/>
              </w:rPr>
            </w:pPr>
            <w:r w:rsidRPr="00AB1279">
              <w:rPr>
                <w:rFonts w:ascii="Calibri" w:hAnsi="Calibri" w:cs="Calibri"/>
                <w:sz w:val="22"/>
                <w:szCs w:val="22"/>
              </w:rPr>
              <w:t>0.00</w:t>
            </w:r>
          </w:p>
        </w:tc>
        <w:tc>
          <w:tcPr>
            <w:tcW w:w="952" w:type="pct"/>
            <w:vAlign w:val="bottom"/>
          </w:tcPr>
          <w:p w14:paraId="1552C18F" w14:textId="77777777" w:rsidR="002A541E" w:rsidRPr="00A00AF5" w:rsidRDefault="002A541E" w:rsidP="00956EB5">
            <w:pPr>
              <w:jc w:val="center"/>
              <w:rPr>
                <w:sz w:val="22"/>
                <w:szCs w:val="22"/>
              </w:rPr>
            </w:pPr>
            <w:r w:rsidRPr="00A00AF5">
              <w:rPr>
                <w:rFonts w:ascii="Calibri" w:hAnsi="Calibri" w:cs="Calibri"/>
                <w:sz w:val="22"/>
                <w:szCs w:val="22"/>
              </w:rPr>
              <w:t>2.72</w:t>
            </w:r>
          </w:p>
        </w:tc>
        <w:tc>
          <w:tcPr>
            <w:tcW w:w="885" w:type="pct"/>
            <w:vAlign w:val="bottom"/>
          </w:tcPr>
          <w:p w14:paraId="22D836EF" w14:textId="77777777" w:rsidR="002A541E" w:rsidRPr="0052796E" w:rsidRDefault="002A541E" w:rsidP="00956EB5">
            <w:pPr>
              <w:jc w:val="center"/>
              <w:rPr>
                <w:sz w:val="22"/>
                <w:szCs w:val="22"/>
              </w:rPr>
            </w:pPr>
            <w:r w:rsidRPr="0052796E">
              <w:rPr>
                <w:rFonts w:ascii="Calibri" w:hAnsi="Calibri" w:cs="Calibri"/>
                <w:sz w:val="22"/>
                <w:szCs w:val="22"/>
              </w:rPr>
              <w:t>0.00</w:t>
            </w:r>
          </w:p>
        </w:tc>
      </w:tr>
      <w:tr w:rsidR="002A541E" w14:paraId="4A516309" w14:textId="77777777" w:rsidTr="00956EB5">
        <w:tc>
          <w:tcPr>
            <w:tcW w:w="1424" w:type="pct"/>
            <w:shd w:val="clear" w:color="auto" w:fill="C00000"/>
            <w:vAlign w:val="bottom"/>
          </w:tcPr>
          <w:p w14:paraId="7885AC63" w14:textId="77777777" w:rsidR="002A541E" w:rsidRPr="008C412D" w:rsidRDefault="002A541E" w:rsidP="00956EB5">
            <w:pPr>
              <w:jc w:val="both"/>
              <w:rPr>
                <w:sz w:val="22"/>
                <w:szCs w:val="22"/>
              </w:rPr>
            </w:pPr>
            <w:r w:rsidRPr="008C412D">
              <w:rPr>
                <w:rFonts w:ascii="Calibri" w:hAnsi="Calibri" w:cs="Calibri"/>
                <w:color w:val="FFFFFF"/>
                <w:sz w:val="22"/>
                <w:szCs w:val="22"/>
              </w:rPr>
              <w:t>Terminal drop</w:t>
            </w:r>
            <w:r>
              <w:rPr>
                <w:rFonts w:ascii="Calibri" w:hAnsi="Calibri" w:cs="Calibri"/>
                <w:color w:val="FFFFFF"/>
                <w:sz w:val="22"/>
                <w:szCs w:val="22"/>
              </w:rPr>
              <w:t xml:space="preserve"> (kW)</w:t>
            </w:r>
          </w:p>
        </w:tc>
        <w:tc>
          <w:tcPr>
            <w:tcW w:w="952" w:type="pct"/>
            <w:vAlign w:val="bottom"/>
          </w:tcPr>
          <w:p w14:paraId="3B334774" w14:textId="77777777" w:rsidR="002A541E" w:rsidRPr="005E655A" w:rsidRDefault="002A541E" w:rsidP="00956EB5">
            <w:pPr>
              <w:jc w:val="center"/>
              <w:rPr>
                <w:sz w:val="22"/>
                <w:szCs w:val="22"/>
              </w:rPr>
            </w:pPr>
            <w:r w:rsidRPr="005E655A">
              <w:rPr>
                <w:rFonts w:ascii="Calibri" w:hAnsi="Calibri" w:cs="Calibri"/>
                <w:sz w:val="22"/>
                <w:szCs w:val="22"/>
              </w:rPr>
              <w:t>1.19</w:t>
            </w:r>
          </w:p>
        </w:tc>
        <w:tc>
          <w:tcPr>
            <w:tcW w:w="787" w:type="pct"/>
            <w:vAlign w:val="bottom"/>
          </w:tcPr>
          <w:p w14:paraId="3948FFCA" w14:textId="77777777" w:rsidR="002A541E" w:rsidRPr="00AB1279" w:rsidRDefault="002A541E" w:rsidP="00956EB5">
            <w:pPr>
              <w:jc w:val="center"/>
              <w:rPr>
                <w:sz w:val="22"/>
                <w:szCs w:val="22"/>
              </w:rPr>
            </w:pPr>
            <w:r w:rsidRPr="00AB1279">
              <w:rPr>
                <w:rFonts w:ascii="Calibri" w:hAnsi="Calibri" w:cs="Calibri"/>
                <w:sz w:val="22"/>
                <w:szCs w:val="22"/>
              </w:rPr>
              <w:t>1.19</w:t>
            </w:r>
          </w:p>
        </w:tc>
        <w:tc>
          <w:tcPr>
            <w:tcW w:w="952" w:type="pct"/>
            <w:vAlign w:val="bottom"/>
          </w:tcPr>
          <w:p w14:paraId="4089A945" w14:textId="77777777" w:rsidR="002A541E" w:rsidRPr="00A00AF5" w:rsidRDefault="002A541E" w:rsidP="00956EB5">
            <w:pPr>
              <w:jc w:val="center"/>
              <w:rPr>
                <w:sz w:val="22"/>
                <w:szCs w:val="22"/>
              </w:rPr>
            </w:pPr>
            <w:r w:rsidRPr="00A00AF5">
              <w:rPr>
                <w:rFonts w:ascii="Calibri" w:hAnsi="Calibri" w:cs="Calibri"/>
                <w:sz w:val="22"/>
                <w:szCs w:val="22"/>
              </w:rPr>
              <w:t>0.90</w:t>
            </w:r>
          </w:p>
        </w:tc>
        <w:tc>
          <w:tcPr>
            <w:tcW w:w="885" w:type="pct"/>
            <w:vAlign w:val="bottom"/>
          </w:tcPr>
          <w:p w14:paraId="7C2FA171" w14:textId="77777777" w:rsidR="002A541E" w:rsidRPr="0052796E" w:rsidRDefault="002A541E" w:rsidP="00956EB5">
            <w:pPr>
              <w:jc w:val="center"/>
              <w:rPr>
                <w:sz w:val="22"/>
                <w:szCs w:val="22"/>
              </w:rPr>
            </w:pPr>
            <w:r w:rsidRPr="0052796E">
              <w:rPr>
                <w:rFonts w:ascii="Calibri" w:hAnsi="Calibri" w:cs="Calibri"/>
                <w:sz w:val="22"/>
                <w:szCs w:val="22"/>
              </w:rPr>
              <w:t>0.90</w:t>
            </w:r>
          </w:p>
        </w:tc>
      </w:tr>
      <w:tr w:rsidR="002A541E" w14:paraId="7C881797" w14:textId="77777777" w:rsidTr="00956EB5">
        <w:tc>
          <w:tcPr>
            <w:tcW w:w="1424" w:type="pct"/>
            <w:shd w:val="clear" w:color="auto" w:fill="C00000"/>
            <w:vAlign w:val="bottom"/>
          </w:tcPr>
          <w:p w14:paraId="2F513B32" w14:textId="77777777" w:rsidR="002A541E" w:rsidRPr="008C412D" w:rsidRDefault="002A541E" w:rsidP="00956EB5">
            <w:pPr>
              <w:jc w:val="both"/>
              <w:rPr>
                <w:sz w:val="22"/>
                <w:szCs w:val="22"/>
              </w:rPr>
            </w:pPr>
            <w:r w:rsidRPr="008C412D">
              <w:rPr>
                <w:rFonts w:ascii="Calibri" w:hAnsi="Calibri" w:cs="Calibri"/>
                <w:color w:val="FFFFFF"/>
                <w:sz w:val="22"/>
                <w:szCs w:val="22"/>
              </w:rPr>
              <w:t xml:space="preserve">Terminal run </w:t>
            </w:r>
            <w:r>
              <w:rPr>
                <w:rFonts w:ascii="Calibri" w:hAnsi="Calibri" w:cs="Calibri"/>
                <w:color w:val="FFFFFF"/>
                <w:sz w:val="22"/>
                <w:szCs w:val="22"/>
              </w:rPr>
              <w:t>(kW)</w:t>
            </w:r>
          </w:p>
        </w:tc>
        <w:tc>
          <w:tcPr>
            <w:tcW w:w="952" w:type="pct"/>
            <w:vAlign w:val="bottom"/>
          </w:tcPr>
          <w:p w14:paraId="5A58A85B" w14:textId="77777777" w:rsidR="002A541E" w:rsidRPr="005E655A" w:rsidRDefault="002A541E" w:rsidP="00956EB5">
            <w:pPr>
              <w:jc w:val="center"/>
              <w:rPr>
                <w:sz w:val="22"/>
                <w:szCs w:val="22"/>
              </w:rPr>
            </w:pPr>
            <w:r w:rsidRPr="005E655A">
              <w:rPr>
                <w:rFonts w:ascii="Calibri" w:hAnsi="Calibri" w:cs="Calibri"/>
                <w:sz w:val="22"/>
                <w:szCs w:val="22"/>
              </w:rPr>
              <w:t>4.69</w:t>
            </w:r>
          </w:p>
        </w:tc>
        <w:tc>
          <w:tcPr>
            <w:tcW w:w="787" w:type="pct"/>
            <w:vAlign w:val="bottom"/>
          </w:tcPr>
          <w:p w14:paraId="163F97EF" w14:textId="77777777" w:rsidR="002A541E" w:rsidRPr="00AB1279" w:rsidRDefault="002A541E" w:rsidP="00956EB5">
            <w:pPr>
              <w:jc w:val="center"/>
              <w:rPr>
                <w:sz w:val="22"/>
                <w:szCs w:val="22"/>
              </w:rPr>
            </w:pPr>
            <w:r w:rsidRPr="00AB1279">
              <w:rPr>
                <w:rFonts w:ascii="Calibri" w:hAnsi="Calibri" w:cs="Calibri"/>
                <w:sz w:val="22"/>
                <w:szCs w:val="22"/>
              </w:rPr>
              <w:t>0.00</w:t>
            </w:r>
          </w:p>
        </w:tc>
        <w:tc>
          <w:tcPr>
            <w:tcW w:w="952" w:type="pct"/>
            <w:vAlign w:val="bottom"/>
          </w:tcPr>
          <w:p w14:paraId="20B45C61" w14:textId="77777777" w:rsidR="002A541E" w:rsidRPr="00A00AF5" w:rsidRDefault="002A541E" w:rsidP="00956EB5">
            <w:pPr>
              <w:jc w:val="center"/>
              <w:rPr>
                <w:sz w:val="22"/>
                <w:szCs w:val="22"/>
              </w:rPr>
            </w:pPr>
            <w:r w:rsidRPr="00A00AF5">
              <w:rPr>
                <w:rFonts w:ascii="Calibri" w:hAnsi="Calibri" w:cs="Calibri"/>
                <w:sz w:val="22"/>
                <w:szCs w:val="22"/>
              </w:rPr>
              <w:t>3.54</w:t>
            </w:r>
          </w:p>
        </w:tc>
        <w:tc>
          <w:tcPr>
            <w:tcW w:w="885" w:type="pct"/>
            <w:vAlign w:val="bottom"/>
          </w:tcPr>
          <w:p w14:paraId="4248C3B0" w14:textId="77777777" w:rsidR="002A541E" w:rsidRPr="0052796E" w:rsidRDefault="002A541E" w:rsidP="00956EB5">
            <w:pPr>
              <w:jc w:val="center"/>
              <w:rPr>
                <w:sz w:val="22"/>
                <w:szCs w:val="22"/>
              </w:rPr>
            </w:pPr>
            <w:r w:rsidRPr="0052796E">
              <w:rPr>
                <w:rFonts w:ascii="Calibri" w:hAnsi="Calibri" w:cs="Calibri"/>
                <w:sz w:val="22"/>
                <w:szCs w:val="22"/>
              </w:rPr>
              <w:t>0.00</w:t>
            </w:r>
          </w:p>
        </w:tc>
      </w:tr>
      <w:tr w:rsidR="002A541E" w14:paraId="75228140" w14:textId="77777777" w:rsidTr="00956EB5">
        <w:tc>
          <w:tcPr>
            <w:tcW w:w="1424" w:type="pct"/>
            <w:shd w:val="clear" w:color="auto" w:fill="C00000"/>
            <w:vAlign w:val="bottom"/>
          </w:tcPr>
          <w:p w14:paraId="0BFE0833" w14:textId="77777777" w:rsidR="002A541E" w:rsidRPr="008C412D" w:rsidRDefault="002A541E" w:rsidP="00956EB5">
            <w:pPr>
              <w:jc w:val="both"/>
              <w:rPr>
                <w:rFonts w:ascii="Calibri" w:hAnsi="Calibri" w:cs="Calibri"/>
                <w:color w:val="FFFFFF"/>
              </w:rPr>
            </w:pPr>
            <w:r>
              <w:rPr>
                <w:rFonts w:ascii="Calibri" w:hAnsi="Calibri" w:cs="Calibri"/>
                <w:color w:val="FFFFFF"/>
              </w:rPr>
              <w:t>Riser Feed (kW)</w:t>
            </w:r>
          </w:p>
        </w:tc>
        <w:tc>
          <w:tcPr>
            <w:tcW w:w="952" w:type="pct"/>
            <w:vAlign w:val="bottom"/>
          </w:tcPr>
          <w:p w14:paraId="2B8D483F" w14:textId="77777777" w:rsidR="002A541E" w:rsidRPr="005E655A" w:rsidRDefault="002A541E" w:rsidP="00956EB5">
            <w:pPr>
              <w:jc w:val="center"/>
              <w:rPr>
                <w:rFonts w:ascii="Calibri" w:hAnsi="Calibri" w:cs="Calibri"/>
              </w:rPr>
            </w:pPr>
            <w:r w:rsidRPr="005E655A">
              <w:rPr>
                <w:rFonts w:ascii="Calibri" w:hAnsi="Calibri" w:cs="Calibri"/>
                <w:sz w:val="22"/>
                <w:szCs w:val="22"/>
              </w:rPr>
              <w:t>0.05</w:t>
            </w:r>
          </w:p>
        </w:tc>
        <w:tc>
          <w:tcPr>
            <w:tcW w:w="787" w:type="pct"/>
            <w:vAlign w:val="bottom"/>
          </w:tcPr>
          <w:p w14:paraId="661969CF" w14:textId="77777777" w:rsidR="002A541E" w:rsidRPr="00AB1279" w:rsidRDefault="002A541E" w:rsidP="00956EB5">
            <w:pPr>
              <w:jc w:val="center"/>
              <w:rPr>
                <w:rFonts w:ascii="Calibri" w:hAnsi="Calibri" w:cs="Calibri"/>
              </w:rPr>
            </w:pPr>
            <w:r w:rsidRPr="00AB1279">
              <w:rPr>
                <w:rFonts w:ascii="Calibri" w:hAnsi="Calibri" w:cs="Calibri"/>
                <w:sz w:val="22"/>
                <w:szCs w:val="22"/>
              </w:rPr>
              <w:t>0.1</w:t>
            </w:r>
            <w:r>
              <w:rPr>
                <w:rFonts w:ascii="Calibri" w:hAnsi="Calibri" w:cs="Calibri"/>
                <w:sz w:val="22"/>
                <w:szCs w:val="22"/>
              </w:rPr>
              <w:t>6</w:t>
            </w:r>
          </w:p>
        </w:tc>
        <w:tc>
          <w:tcPr>
            <w:tcW w:w="952" w:type="pct"/>
            <w:vAlign w:val="bottom"/>
          </w:tcPr>
          <w:p w14:paraId="77FD0AA1" w14:textId="77777777" w:rsidR="002A541E" w:rsidRPr="00A00AF5" w:rsidRDefault="002A541E" w:rsidP="00956EB5">
            <w:pPr>
              <w:jc w:val="center"/>
              <w:rPr>
                <w:rFonts w:ascii="Calibri" w:hAnsi="Calibri" w:cs="Calibri"/>
              </w:rPr>
            </w:pPr>
            <w:r w:rsidRPr="00A00AF5">
              <w:rPr>
                <w:rFonts w:ascii="Calibri" w:hAnsi="Calibri" w:cs="Calibri"/>
                <w:sz w:val="22"/>
                <w:szCs w:val="22"/>
              </w:rPr>
              <w:t>0.0</w:t>
            </w:r>
            <w:r>
              <w:rPr>
                <w:rFonts w:ascii="Calibri" w:hAnsi="Calibri" w:cs="Calibri"/>
                <w:sz w:val="22"/>
                <w:szCs w:val="22"/>
              </w:rPr>
              <w:t>5</w:t>
            </w:r>
          </w:p>
        </w:tc>
        <w:tc>
          <w:tcPr>
            <w:tcW w:w="885" w:type="pct"/>
            <w:vAlign w:val="bottom"/>
          </w:tcPr>
          <w:p w14:paraId="418DB9ED" w14:textId="77777777" w:rsidR="002A541E" w:rsidRPr="0052796E" w:rsidRDefault="002A541E" w:rsidP="00956EB5">
            <w:pPr>
              <w:jc w:val="center"/>
              <w:rPr>
                <w:rFonts w:ascii="Calibri" w:hAnsi="Calibri" w:cs="Calibri"/>
              </w:rPr>
            </w:pPr>
            <w:r w:rsidRPr="0052796E">
              <w:rPr>
                <w:rFonts w:ascii="Calibri" w:hAnsi="Calibri" w:cs="Calibri"/>
                <w:sz w:val="22"/>
                <w:szCs w:val="22"/>
              </w:rPr>
              <w:t>0.1</w:t>
            </w:r>
            <w:r>
              <w:rPr>
                <w:rFonts w:ascii="Calibri" w:hAnsi="Calibri" w:cs="Calibri"/>
                <w:sz w:val="22"/>
                <w:szCs w:val="22"/>
              </w:rPr>
              <w:t>3</w:t>
            </w:r>
          </w:p>
        </w:tc>
      </w:tr>
      <w:tr w:rsidR="002A541E" w14:paraId="3CF69F9F" w14:textId="77777777" w:rsidTr="00956EB5">
        <w:tc>
          <w:tcPr>
            <w:tcW w:w="1424" w:type="pct"/>
            <w:shd w:val="clear" w:color="auto" w:fill="C00000"/>
          </w:tcPr>
          <w:p w14:paraId="47C57161" w14:textId="77777777" w:rsidR="002A541E" w:rsidRPr="00C25DFD" w:rsidRDefault="002A541E" w:rsidP="00956EB5">
            <w:pPr>
              <w:jc w:val="both"/>
              <w:rPr>
                <w:sz w:val="22"/>
                <w:szCs w:val="22"/>
              </w:rPr>
            </w:pPr>
            <w:r w:rsidRPr="00C25DFD">
              <w:rPr>
                <w:sz w:val="22"/>
                <w:szCs w:val="22"/>
              </w:rPr>
              <w:t>Total losses (kW)</w:t>
            </w:r>
          </w:p>
        </w:tc>
        <w:tc>
          <w:tcPr>
            <w:tcW w:w="952" w:type="pct"/>
            <w:vAlign w:val="bottom"/>
          </w:tcPr>
          <w:p w14:paraId="7C9B7D43" w14:textId="77777777" w:rsidR="002A541E" w:rsidRPr="005E655A" w:rsidRDefault="002A541E" w:rsidP="00956EB5">
            <w:pPr>
              <w:jc w:val="center"/>
              <w:rPr>
                <w:sz w:val="22"/>
                <w:szCs w:val="22"/>
              </w:rPr>
            </w:pPr>
            <w:r w:rsidRPr="005E655A">
              <w:rPr>
                <w:rFonts w:ascii="Calibri" w:hAnsi="Calibri" w:cs="Calibri"/>
                <w:sz w:val="22"/>
                <w:szCs w:val="22"/>
              </w:rPr>
              <w:t>11.20</w:t>
            </w:r>
          </w:p>
        </w:tc>
        <w:tc>
          <w:tcPr>
            <w:tcW w:w="787" w:type="pct"/>
            <w:vAlign w:val="bottom"/>
          </w:tcPr>
          <w:p w14:paraId="74216A2C" w14:textId="77777777" w:rsidR="002A541E" w:rsidRPr="00AB1279" w:rsidRDefault="002A541E" w:rsidP="00956EB5">
            <w:pPr>
              <w:jc w:val="center"/>
              <w:rPr>
                <w:sz w:val="22"/>
                <w:szCs w:val="22"/>
              </w:rPr>
            </w:pPr>
            <w:r w:rsidRPr="00AB1279">
              <w:rPr>
                <w:rFonts w:ascii="Calibri" w:hAnsi="Calibri" w:cs="Calibri"/>
                <w:sz w:val="22"/>
                <w:szCs w:val="22"/>
              </w:rPr>
              <w:t>5.2</w:t>
            </w:r>
            <w:r>
              <w:rPr>
                <w:rFonts w:ascii="Calibri" w:hAnsi="Calibri" w:cs="Calibri"/>
                <w:sz w:val="22"/>
                <w:szCs w:val="22"/>
              </w:rPr>
              <w:t>5</w:t>
            </w:r>
          </w:p>
        </w:tc>
        <w:tc>
          <w:tcPr>
            <w:tcW w:w="952" w:type="pct"/>
            <w:vAlign w:val="bottom"/>
          </w:tcPr>
          <w:p w14:paraId="40F31D7C" w14:textId="77777777" w:rsidR="002A541E" w:rsidRPr="00A00AF5" w:rsidRDefault="002A541E" w:rsidP="00956EB5">
            <w:pPr>
              <w:jc w:val="center"/>
              <w:rPr>
                <w:sz w:val="22"/>
                <w:szCs w:val="22"/>
              </w:rPr>
            </w:pPr>
            <w:r w:rsidRPr="00A00AF5">
              <w:rPr>
                <w:rFonts w:ascii="Calibri" w:hAnsi="Calibri" w:cs="Calibri"/>
                <w:sz w:val="22"/>
                <w:szCs w:val="22"/>
              </w:rPr>
              <w:t>9.</w:t>
            </w:r>
            <w:r>
              <w:rPr>
                <w:rFonts w:ascii="Calibri" w:hAnsi="Calibri" w:cs="Calibri"/>
                <w:sz w:val="22"/>
                <w:szCs w:val="22"/>
              </w:rPr>
              <w:t>10</w:t>
            </w:r>
          </w:p>
        </w:tc>
        <w:tc>
          <w:tcPr>
            <w:tcW w:w="885" w:type="pct"/>
            <w:vAlign w:val="bottom"/>
          </w:tcPr>
          <w:p w14:paraId="49BEEF7E" w14:textId="77777777" w:rsidR="002A541E" w:rsidRPr="0052796E" w:rsidRDefault="002A541E" w:rsidP="00956EB5">
            <w:pPr>
              <w:jc w:val="center"/>
              <w:rPr>
                <w:sz w:val="22"/>
                <w:szCs w:val="22"/>
              </w:rPr>
            </w:pPr>
            <w:r w:rsidRPr="0052796E">
              <w:rPr>
                <w:rFonts w:ascii="Calibri" w:hAnsi="Calibri" w:cs="Calibri"/>
                <w:sz w:val="22"/>
                <w:szCs w:val="22"/>
              </w:rPr>
              <w:t>4.57</w:t>
            </w:r>
          </w:p>
        </w:tc>
      </w:tr>
      <w:tr w:rsidR="002A541E" w14:paraId="39073267" w14:textId="77777777" w:rsidTr="00956EB5">
        <w:tc>
          <w:tcPr>
            <w:tcW w:w="1424" w:type="pct"/>
            <w:shd w:val="clear" w:color="auto" w:fill="C00000"/>
          </w:tcPr>
          <w:p w14:paraId="5C567159" w14:textId="77777777" w:rsidR="002A541E" w:rsidRPr="00C25DFD" w:rsidRDefault="002A541E" w:rsidP="00956EB5">
            <w:pPr>
              <w:jc w:val="both"/>
              <w:rPr>
                <w:sz w:val="22"/>
                <w:szCs w:val="22"/>
              </w:rPr>
            </w:pPr>
            <w:r w:rsidRPr="00C25DFD">
              <w:rPr>
                <w:sz w:val="22"/>
                <w:szCs w:val="22"/>
              </w:rPr>
              <w:t>W/dwelling</w:t>
            </w:r>
          </w:p>
        </w:tc>
        <w:tc>
          <w:tcPr>
            <w:tcW w:w="952" w:type="pct"/>
            <w:vAlign w:val="center"/>
          </w:tcPr>
          <w:p w14:paraId="7B475452" w14:textId="77777777" w:rsidR="002A541E" w:rsidRPr="00924813" w:rsidRDefault="002A541E" w:rsidP="00956EB5">
            <w:pPr>
              <w:jc w:val="center"/>
              <w:rPr>
                <w:sz w:val="22"/>
                <w:szCs w:val="22"/>
              </w:rPr>
            </w:pPr>
            <w:r>
              <w:rPr>
                <w:sz w:val="22"/>
                <w:szCs w:val="22"/>
              </w:rPr>
              <w:t>56.0</w:t>
            </w:r>
          </w:p>
        </w:tc>
        <w:tc>
          <w:tcPr>
            <w:tcW w:w="787" w:type="pct"/>
            <w:vAlign w:val="bottom"/>
          </w:tcPr>
          <w:p w14:paraId="7A7ACAB1" w14:textId="77777777" w:rsidR="002A541E" w:rsidRPr="00AB1279" w:rsidRDefault="002A541E" w:rsidP="00956EB5">
            <w:pPr>
              <w:jc w:val="center"/>
              <w:rPr>
                <w:sz w:val="22"/>
                <w:szCs w:val="22"/>
              </w:rPr>
            </w:pPr>
            <w:r>
              <w:rPr>
                <w:sz w:val="22"/>
                <w:szCs w:val="22"/>
              </w:rPr>
              <w:t>26.3</w:t>
            </w:r>
          </w:p>
        </w:tc>
        <w:tc>
          <w:tcPr>
            <w:tcW w:w="952" w:type="pct"/>
            <w:vAlign w:val="center"/>
          </w:tcPr>
          <w:p w14:paraId="53BEE0B6" w14:textId="77777777" w:rsidR="002A541E" w:rsidRPr="00E2316C" w:rsidRDefault="002A541E" w:rsidP="00956EB5">
            <w:pPr>
              <w:jc w:val="center"/>
              <w:rPr>
                <w:color w:val="FF0000"/>
                <w:sz w:val="22"/>
                <w:szCs w:val="22"/>
              </w:rPr>
            </w:pPr>
            <w:r w:rsidRPr="0060213D">
              <w:rPr>
                <w:sz w:val="22"/>
                <w:szCs w:val="22"/>
              </w:rPr>
              <w:t>45.</w:t>
            </w:r>
            <w:r>
              <w:rPr>
                <w:sz w:val="22"/>
                <w:szCs w:val="22"/>
              </w:rPr>
              <w:t>5</w:t>
            </w:r>
          </w:p>
        </w:tc>
        <w:tc>
          <w:tcPr>
            <w:tcW w:w="885" w:type="pct"/>
            <w:vAlign w:val="center"/>
          </w:tcPr>
          <w:p w14:paraId="5CBF7C0F" w14:textId="77777777" w:rsidR="002A541E" w:rsidRPr="00E2316C" w:rsidRDefault="002A541E" w:rsidP="00956EB5">
            <w:pPr>
              <w:jc w:val="center"/>
              <w:rPr>
                <w:color w:val="FF0000"/>
                <w:sz w:val="22"/>
                <w:szCs w:val="22"/>
              </w:rPr>
            </w:pPr>
            <w:r w:rsidRPr="0052796E">
              <w:rPr>
                <w:rFonts w:ascii="Calibri" w:hAnsi="Calibri" w:cs="Calibri"/>
                <w:sz w:val="22"/>
                <w:szCs w:val="22"/>
              </w:rPr>
              <w:t>22.</w:t>
            </w:r>
            <w:r>
              <w:rPr>
                <w:rFonts w:ascii="Calibri" w:hAnsi="Calibri" w:cs="Calibri"/>
                <w:sz w:val="22"/>
                <w:szCs w:val="22"/>
              </w:rPr>
              <w:t>9</w:t>
            </w:r>
          </w:p>
        </w:tc>
      </w:tr>
      <w:tr w:rsidR="002A541E" w14:paraId="0678E73F" w14:textId="77777777" w:rsidTr="00956EB5">
        <w:tc>
          <w:tcPr>
            <w:tcW w:w="1424" w:type="pct"/>
            <w:shd w:val="clear" w:color="auto" w:fill="C00000"/>
          </w:tcPr>
          <w:p w14:paraId="642562EC" w14:textId="77777777" w:rsidR="002A541E" w:rsidRPr="00C25DFD" w:rsidRDefault="002A541E" w:rsidP="00956EB5">
            <w:pPr>
              <w:jc w:val="both"/>
              <w:rPr>
                <w:sz w:val="22"/>
                <w:szCs w:val="22"/>
              </w:rPr>
            </w:pPr>
            <w:r w:rsidRPr="00C25DFD">
              <w:rPr>
                <w:sz w:val="22"/>
                <w:szCs w:val="22"/>
              </w:rPr>
              <w:t>Total pipe length (m)</w:t>
            </w:r>
          </w:p>
        </w:tc>
        <w:tc>
          <w:tcPr>
            <w:tcW w:w="952" w:type="pct"/>
            <w:vAlign w:val="center"/>
          </w:tcPr>
          <w:p w14:paraId="0950D8D8" w14:textId="77777777" w:rsidR="002A541E" w:rsidRPr="00924813" w:rsidRDefault="002A541E" w:rsidP="00956EB5">
            <w:pPr>
              <w:jc w:val="center"/>
              <w:rPr>
                <w:sz w:val="22"/>
                <w:szCs w:val="22"/>
              </w:rPr>
            </w:pPr>
            <w:r w:rsidRPr="00924813">
              <w:rPr>
                <w:rFonts w:ascii="Calibri" w:hAnsi="Calibri" w:cs="Calibri"/>
                <w:sz w:val="22"/>
                <w:szCs w:val="22"/>
              </w:rPr>
              <w:t>4255</w:t>
            </w:r>
          </w:p>
        </w:tc>
        <w:tc>
          <w:tcPr>
            <w:tcW w:w="787" w:type="pct"/>
            <w:vAlign w:val="center"/>
          </w:tcPr>
          <w:p w14:paraId="7D9B9987" w14:textId="77777777" w:rsidR="002A541E" w:rsidRPr="00C25DFD" w:rsidRDefault="002A541E" w:rsidP="00956EB5">
            <w:pPr>
              <w:jc w:val="center"/>
              <w:rPr>
                <w:sz w:val="22"/>
                <w:szCs w:val="22"/>
              </w:rPr>
            </w:pPr>
            <w:r w:rsidRPr="00C25DFD">
              <w:rPr>
                <w:rFonts w:ascii="Calibri" w:hAnsi="Calibri" w:cs="Calibri"/>
                <w:color w:val="000000"/>
                <w:sz w:val="22"/>
                <w:szCs w:val="22"/>
              </w:rPr>
              <w:t>1495</w:t>
            </w:r>
          </w:p>
        </w:tc>
        <w:tc>
          <w:tcPr>
            <w:tcW w:w="952" w:type="pct"/>
            <w:vAlign w:val="center"/>
          </w:tcPr>
          <w:p w14:paraId="555DBFAF" w14:textId="77777777" w:rsidR="002A541E" w:rsidRPr="00C25DFD" w:rsidRDefault="002A541E" w:rsidP="00956EB5">
            <w:pPr>
              <w:jc w:val="center"/>
              <w:rPr>
                <w:sz w:val="22"/>
                <w:szCs w:val="22"/>
              </w:rPr>
            </w:pPr>
            <w:r w:rsidRPr="00C25DFD">
              <w:rPr>
                <w:rFonts w:ascii="Calibri" w:hAnsi="Calibri" w:cs="Calibri"/>
                <w:color w:val="000000"/>
                <w:sz w:val="22"/>
                <w:szCs w:val="22"/>
              </w:rPr>
              <w:t>4255</w:t>
            </w:r>
          </w:p>
        </w:tc>
        <w:tc>
          <w:tcPr>
            <w:tcW w:w="885" w:type="pct"/>
            <w:vAlign w:val="center"/>
          </w:tcPr>
          <w:p w14:paraId="088F8F4B" w14:textId="77777777" w:rsidR="002A541E" w:rsidRPr="00C25DFD" w:rsidRDefault="002A541E" w:rsidP="00956EB5">
            <w:pPr>
              <w:keepNext/>
              <w:jc w:val="center"/>
              <w:rPr>
                <w:sz w:val="22"/>
                <w:szCs w:val="22"/>
              </w:rPr>
            </w:pPr>
            <w:r w:rsidRPr="00C25DFD">
              <w:rPr>
                <w:rFonts w:ascii="Calibri" w:hAnsi="Calibri" w:cs="Calibri"/>
                <w:color w:val="000000"/>
                <w:sz w:val="22"/>
                <w:szCs w:val="22"/>
              </w:rPr>
              <w:t>1495</w:t>
            </w:r>
          </w:p>
        </w:tc>
      </w:tr>
    </w:tbl>
    <w:p w14:paraId="674C1BCC" w14:textId="61837707" w:rsidR="002A541E" w:rsidRDefault="002A541E" w:rsidP="002A541E">
      <w:pPr>
        <w:pStyle w:val="Caption"/>
      </w:pPr>
      <w:r>
        <w:t xml:space="preserve">Table </w:t>
      </w:r>
      <w:r w:rsidR="003E50E8">
        <w:fldChar w:fldCharType="begin"/>
      </w:r>
      <w:r w:rsidR="003E50E8">
        <w:instrText xml:space="preserve"> SEQ Table \* ARABIC </w:instrText>
      </w:r>
      <w:r w:rsidR="003E50E8">
        <w:fldChar w:fldCharType="separate"/>
      </w:r>
      <w:r w:rsidR="00252302">
        <w:rPr>
          <w:noProof/>
        </w:rPr>
        <w:t>1</w:t>
      </w:r>
      <w:r w:rsidR="003E50E8">
        <w:rPr>
          <w:noProof/>
        </w:rPr>
        <w:fldChar w:fldCharType="end"/>
      </w:r>
      <w:r>
        <w:t>: Heat loss model summary of results</w:t>
      </w:r>
    </w:p>
    <w:p w14:paraId="6DD35EFD" w14:textId="77777777" w:rsidR="002A541E" w:rsidRPr="00C25DFD" w:rsidRDefault="002A541E" w:rsidP="002A541E">
      <w:pPr>
        <w:jc w:val="both"/>
        <w:rPr>
          <w:b/>
          <w:bCs/>
        </w:rPr>
      </w:pPr>
      <w:r w:rsidRPr="00C25DFD">
        <w:rPr>
          <w:b/>
          <w:bCs/>
        </w:rPr>
        <w:t xml:space="preserve">System Volumes </w:t>
      </w:r>
    </w:p>
    <w:tbl>
      <w:tblPr>
        <w:tblStyle w:val="TableGrid"/>
        <w:tblW w:w="5000" w:type="pct"/>
        <w:tblLook w:val="04A0" w:firstRow="1" w:lastRow="0" w:firstColumn="1" w:lastColumn="0" w:noHBand="0" w:noVBand="1"/>
      </w:tblPr>
      <w:tblGrid>
        <w:gridCol w:w="3662"/>
        <w:gridCol w:w="1328"/>
        <w:gridCol w:w="1536"/>
        <w:gridCol w:w="1298"/>
        <w:gridCol w:w="1499"/>
      </w:tblGrid>
      <w:tr w:rsidR="002A541E" w14:paraId="48DA469D" w14:textId="77777777" w:rsidTr="00956EB5">
        <w:tc>
          <w:tcPr>
            <w:tcW w:w="1964" w:type="pct"/>
            <w:vMerge w:val="restart"/>
            <w:shd w:val="clear" w:color="auto" w:fill="C00000"/>
            <w:vAlign w:val="center"/>
          </w:tcPr>
          <w:p w14:paraId="60EFEFBE" w14:textId="77777777" w:rsidR="002A541E" w:rsidRPr="00C25DFD" w:rsidRDefault="002A541E" w:rsidP="00956EB5">
            <w:pPr>
              <w:jc w:val="both"/>
              <w:rPr>
                <w:sz w:val="22"/>
                <w:szCs w:val="22"/>
              </w:rPr>
            </w:pPr>
            <w:r w:rsidRPr="00C25DFD">
              <w:rPr>
                <w:sz w:val="22"/>
                <w:szCs w:val="22"/>
              </w:rPr>
              <w:t>Conventional</w:t>
            </w:r>
          </w:p>
        </w:tc>
        <w:tc>
          <w:tcPr>
            <w:tcW w:w="1536" w:type="pct"/>
            <w:gridSpan w:val="2"/>
            <w:shd w:val="clear" w:color="auto" w:fill="C00000"/>
            <w:vAlign w:val="center"/>
          </w:tcPr>
          <w:p w14:paraId="6FCD3226" w14:textId="77777777" w:rsidR="002A541E" w:rsidRPr="00C25DFD" w:rsidRDefault="002A541E" w:rsidP="00956EB5">
            <w:pPr>
              <w:jc w:val="center"/>
              <w:rPr>
                <w:sz w:val="22"/>
                <w:szCs w:val="22"/>
              </w:rPr>
            </w:pPr>
            <w:r w:rsidRPr="00C25DFD">
              <w:rPr>
                <w:sz w:val="22"/>
                <w:szCs w:val="22"/>
              </w:rPr>
              <w:t>High temperature</w:t>
            </w:r>
          </w:p>
        </w:tc>
        <w:tc>
          <w:tcPr>
            <w:tcW w:w="1500" w:type="pct"/>
            <w:gridSpan w:val="2"/>
            <w:shd w:val="clear" w:color="auto" w:fill="C00000"/>
            <w:vAlign w:val="center"/>
          </w:tcPr>
          <w:p w14:paraId="2E09CBC0" w14:textId="77777777" w:rsidR="002A541E" w:rsidRPr="00C25DFD" w:rsidRDefault="002A541E" w:rsidP="00956EB5">
            <w:pPr>
              <w:jc w:val="center"/>
              <w:rPr>
                <w:sz w:val="22"/>
                <w:szCs w:val="22"/>
              </w:rPr>
            </w:pPr>
            <w:r w:rsidRPr="00C25DFD">
              <w:rPr>
                <w:sz w:val="22"/>
                <w:szCs w:val="22"/>
              </w:rPr>
              <w:t>Low temperature</w:t>
            </w:r>
          </w:p>
        </w:tc>
      </w:tr>
      <w:tr w:rsidR="002A541E" w14:paraId="46167DA9" w14:textId="77777777" w:rsidTr="00956EB5">
        <w:tc>
          <w:tcPr>
            <w:tcW w:w="1964" w:type="pct"/>
            <w:vMerge/>
            <w:shd w:val="clear" w:color="auto" w:fill="C00000"/>
          </w:tcPr>
          <w:p w14:paraId="78D3C1E9" w14:textId="77777777" w:rsidR="002A541E" w:rsidRPr="00C25DFD" w:rsidRDefault="002A541E" w:rsidP="00956EB5">
            <w:pPr>
              <w:jc w:val="both"/>
              <w:rPr>
                <w:sz w:val="22"/>
                <w:szCs w:val="22"/>
              </w:rPr>
            </w:pPr>
          </w:p>
        </w:tc>
        <w:tc>
          <w:tcPr>
            <w:tcW w:w="712" w:type="pct"/>
            <w:shd w:val="clear" w:color="auto" w:fill="C00000"/>
            <w:vAlign w:val="center"/>
          </w:tcPr>
          <w:p w14:paraId="6EC2EF6B" w14:textId="77777777" w:rsidR="002A541E" w:rsidRPr="00C25DFD" w:rsidRDefault="002A541E" w:rsidP="00956EB5">
            <w:pPr>
              <w:jc w:val="center"/>
              <w:rPr>
                <w:sz w:val="22"/>
                <w:szCs w:val="22"/>
              </w:rPr>
            </w:pPr>
            <w:r w:rsidRPr="00C25DFD">
              <w:rPr>
                <w:sz w:val="22"/>
                <w:szCs w:val="22"/>
              </w:rPr>
              <w:t>m</w:t>
            </w:r>
            <w:r w:rsidRPr="00C25DFD">
              <w:rPr>
                <w:sz w:val="22"/>
                <w:szCs w:val="22"/>
                <w:vertAlign w:val="superscript"/>
              </w:rPr>
              <w:t>3</w:t>
            </w:r>
          </w:p>
        </w:tc>
        <w:tc>
          <w:tcPr>
            <w:tcW w:w="823" w:type="pct"/>
            <w:shd w:val="clear" w:color="auto" w:fill="C00000"/>
            <w:vAlign w:val="center"/>
          </w:tcPr>
          <w:p w14:paraId="4767CBBD" w14:textId="77777777" w:rsidR="002A541E" w:rsidRPr="00C25DFD" w:rsidRDefault="002A541E" w:rsidP="00956EB5">
            <w:pPr>
              <w:jc w:val="center"/>
              <w:rPr>
                <w:sz w:val="22"/>
                <w:szCs w:val="22"/>
              </w:rPr>
            </w:pPr>
            <w:proofErr w:type="spellStart"/>
            <w:r w:rsidRPr="00C25DFD">
              <w:rPr>
                <w:sz w:val="22"/>
                <w:szCs w:val="22"/>
              </w:rPr>
              <w:t>litres</w:t>
            </w:r>
            <w:proofErr w:type="spellEnd"/>
          </w:p>
        </w:tc>
        <w:tc>
          <w:tcPr>
            <w:tcW w:w="696" w:type="pct"/>
            <w:shd w:val="clear" w:color="auto" w:fill="C00000"/>
            <w:vAlign w:val="center"/>
          </w:tcPr>
          <w:p w14:paraId="73FFF2D7" w14:textId="77777777" w:rsidR="002A541E" w:rsidRPr="00C25DFD" w:rsidRDefault="002A541E" w:rsidP="00956EB5">
            <w:pPr>
              <w:jc w:val="center"/>
              <w:rPr>
                <w:sz w:val="22"/>
                <w:szCs w:val="22"/>
              </w:rPr>
            </w:pPr>
            <w:r w:rsidRPr="00C25DFD">
              <w:rPr>
                <w:sz w:val="22"/>
                <w:szCs w:val="22"/>
              </w:rPr>
              <w:t>m</w:t>
            </w:r>
            <w:r w:rsidRPr="00C25DFD">
              <w:rPr>
                <w:sz w:val="22"/>
                <w:szCs w:val="22"/>
                <w:vertAlign w:val="superscript"/>
              </w:rPr>
              <w:t>3</w:t>
            </w:r>
          </w:p>
        </w:tc>
        <w:tc>
          <w:tcPr>
            <w:tcW w:w="805" w:type="pct"/>
            <w:shd w:val="clear" w:color="auto" w:fill="C00000"/>
            <w:vAlign w:val="center"/>
          </w:tcPr>
          <w:p w14:paraId="3D141280" w14:textId="77777777" w:rsidR="002A541E" w:rsidRPr="00C25DFD" w:rsidRDefault="002A541E" w:rsidP="00956EB5">
            <w:pPr>
              <w:jc w:val="center"/>
              <w:rPr>
                <w:sz w:val="22"/>
                <w:szCs w:val="22"/>
              </w:rPr>
            </w:pPr>
            <w:proofErr w:type="spellStart"/>
            <w:r w:rsidRPr="00C25DFD">
              <w:rPr>
                <w:sz w:val="22"/>
                <w:szCs w:val="22"/>
              </w:rPr>
              <w:t>litres</w:t>
            </w:r>
            <w:proofErr w:type="spellEnd"/>
          </w:p>
        </w:tc>
      </w:tr>
      <w:tr w:rsidR="002A541E" w14:paraId="03C4B7FC" w14:textId="77777777" w:rsidTr="00956EB5">
        <w:tc>
          <w:tcPr>
            <w:tcW w:w="1964" w:type="pct"/>
            <w:shd w:val="clear" w:color="auto" w:fill="C00000"/>
          </w:tcPr>
          <w:p w14:paraId="67DF88F8" w14:textId="77777777" w:rsidR="002A541E" w:rsidRPr="00C25DFD" w:rsidRDefault="002A541E" w:rsidP="00956EB5">
            <w:pPr>
              <w:jc w:val="both"/>
              <w:rPr>
                <w:sz w:val="22"/>
                <w:szCs w:val="22"/>
              </w:rPr>
            </w:pPr>
            <w:r w:rsidRPr="00C25DFD">
              <w:rPr>
                <w:sz w:val="22"/>
                <w:szCs w:val="22"/>
              </w:rPr>
              <w:t>Vol. of system</w:t>
            </w:r>
          </w:p>
        </w:tc>
        <w:tc>
          <w:tcPr>
            <w:tcW w:w="712" w:type="pct"/>
            <w:vAlign w:val="center"/>
          </w:tcPr>
          <w:p w14:paraId="0596845D" w14:textId="77777777" w:rsidR="002A541E" w:rsidRPr="0060213D" w:rsidRDefault="002A541E" w:rsidP="00956EB5">
            <w:pPr>
              <w:jc w:val="center"/>
              <w:rPr>
                <w:sz w:val="22"/>
                <w:szCs w:val="22"/>
              </w:rPr>
            </w:pPr>
            <w:r w:rsidRPr="0060213D">
              <w:rPr>
                <w:rFonts w:ascii="Calibri" w:hAnsi="Calibri" w:cs="Calibri"/>
                <w:sz w:val="22"/>
                <w:szCs w:val="22"/>
              </w:rPr>
              <w:t>2.477</w:t>
            </w:r>
          </w:p>
        </w:tc>
        <w:tc>
          <w:tcPr>
            <w:tcW w:w="823" w:type="pct"/>
            <w:vAlign w:val="center"/>
          </w:tcPr>
          <w:p w14:paraId="7A609755" w14:textId="77777777" w:rsidR="002A541E" w:rsidRPr="0060213D" w:rsidRDefault="002A541E" w:rsidP="00956EB5">
            <w:pPr>
              <w:jc w:val="center"/>
              <w:rPr>
                <w:sz w:val="22"/>
                <w:szCs w:val="22"/>
              </w:rPr>
            </w:pPr>
            <w:r w:rsidRPr="0060213D">
              <w:rPr>
                <w:rFonts w:ascii="Calibri" w:hAnsi="Calibri" w:cs="Calibri"/>
                <w:sz w:val="22"/>
                <w:szCs w:val="22"/>
              </w:rPr>
              <w:t>2477.3</w:t>
            </w:r>
          </w:p>
        </w:tc>
        <w:tc>
          <w:tcPr>
            <w:tcW w:w="696" w:type="pct"/>
            <w:vAlign w:val="center"/>
          </w:tcPr>
          <w:p w14:paraId="669A96E1" w14:textId="77777777" w:rsidR="002A541E" w:rsidRPr="0060213D" w:rsidRDefault="002A541E" w:rsidP="00956EB5">
            <w:pPr>
              <w:jc w:val="center"/>
              <w:rPr>
                <w:sz w:val="22"/>
                <w:szCs w:val="22"/>
              </w:rPr>
            </w:pPr>
            <w:r w:rsidRPr="0060213D">
              <w:rPr>
                <w:rFonts w:ascii="Calibri" w:hAnsi="Calibri" w:cs="Calibri"/>
                <w:sz w:val="22"/>
                <w:szCs w:val="22"/>
              </w:rPr>
              <w:t>3.</w:t>
            </w:r>
            <w:r>
              <w:rPr>
                <w:rFonts w:ascii="Calibri" w:hAnsi="Calibri" w:cs="Calibri"/>
                <w:sz w:val="22"/>
                <w:szCs w:val="22"/>
              </w:rPr>
              <w:t>546</w:t>
            </w:r>
          </w:p>
        </w:tc>
        <w:tc>
          <w:tcPr>
            <w:tcW w:w="805" w:type="pct"/>
            <w:vAlign w:val="center"/>
          </w:tcPr>
          <w:p w14:paraId="539B3172" w14:textId="77777777" w:rsidR="002A541E" w:rsidRPr="0060213D" w:rsidRDefault="002A541E" w:rsidP="00956EB5">
            <w:pPr>
              <w:jc w:val="center"/>
              <w:rPr>
                <w:sz w:val="22"/>
                <w:szCs w:val="22"/>
              </w:rPr>
            </w:pPr>
            <w:r w:rsidRPr="0060213D">
              <w:rPr>
                <w:rFonts w:ascii="Calibri" w:hAnsi="Calibri" w:cs="Calibri"/>
                <w:sz w:val="22"/>
                <w:szCs w:val="22"/>
              </w:rPr>
              <w:t>3</w:t>
            </w:r>
            <w:r>
              <w:rPr>
                <w:rFonts w:ascii="Calibri" w:hAnsi="Calibri" w:cs="Calibri"/>
                <w:sz w:val="22"/>
                <w:szCs w:val="22"/>
              </w:rPr>
              <w:t>546.3</w:t>
            </w:r>
          </w:p>
        </w:tc>
      </w:tr>
      <w:tr w:rsidR="002A541E" w14:paraId="152471CB" w14:textId="77777777" w:rsidTr="00956EB5">
        <w:tc>
          <w:tcPr>
            <w:tcW w:w="1964" w:type="pct"/>
            <w:shd w:val="clear" w:color="auto" w:fill="C00000"/>
          </w:tcPr>
          <w:p w14:paraId="2CD302A8" w14:textId="77777777" w:rsidR="002A541E" w:rsidRPr="00C25DFD" w:rsidRDefault="002A541E" w:rsidP="00956EB5">
            <w:pPr>
              <w:jc w:val="both"/>
              <w:rPr>
                <w:sz w:val="22"/>
                <w:szCs w:val="22"/>
              </w:rPr>
            </w:pPr>
            <w:r w:rsidRPr="00C25DFD">
              <w:rPr>
                <w:sz w:val="22"/>
                <w:szCs w:val="22"/>
              </w:rPr>
              <w:t>Vol. /dwelling</w:t>
            </w:r>
          </w:p>
        </w:tc>
        <w:tc>
          <w:tcPr>
            <w:tcW w:w="712" w:type="pct"/>
            <w:vAlign w:val="center"/>
          </w:tcPr>
          <w:p w14:paraId="3619C524" w14:textId="77777777" w:rsidR="002A541E" w:rsidRPr="0060213D" w:rsidRDefault="002A541E" w:rsidP="00956EB5">
            <w:pPr>
              <w:jc w:val="center"/>
              <w:rPr>
                <w:sz w:val="22"/>
                <w:szCs w:val="22"/>
              </w:rPr>
            </w:pPr>
            <w:r w:rsidRPr="0060213D">
              <w:rPr>
                <w:rFonts w:ascii="Calibri" w:hAnsi="Calibri" w:cs="Calibri"/>
                <w:sz w:val="22"/>
                <w:szCs w:val="22"/>
              </w:rPr>
              <w:t>0.012</w:t>
            </w:r>
          </w:p>
        </w:tc>
        <w:tc>
          <w:tcPr>
            <w:tcW w:w="823" w:type="pct"/>
            <w:vAlign w:val="center"/>
          </w:tcPr>
          <w:p w14:paraId="15ACD551" w14:textId="77777777" w:rsidR="002A541E" w:rsidRPr="0060213D" w:rsidRDefault="002A541E" w:rsidP="00956EB5">
            <w:pPr>
              <w:jc w:val="center"/>
              <w:rPr>
                <w:sz w:val="22"/>
                <w:szCs w:val="22"/>
              </w:rPr>
            </w:pPr>
            <w:r w:rsidRPr="0060213D">
              <w:rPr>
                <w:rFonts w:ascii="Calibri" w:hAnsi="Calibri" w:cs="Calibri"/>
                <w:sz w:val="22"/>
                <w:szCs w:val="22"/>
              </w:rPr>
              <w:t>12.4</w:t>
            </w:r>
          </w:p>
        </w:tc>
        <w:tc>
          <w:tcPr>
            <w:tcW w:w="696" w:type="pct"/>
            <w:vAlign w:val="center"/>
          </w:tcPr>
          <w:p w14:paraId="228032BC" w14:textId="77777777" w:rsidR="002A541E" w:rsidRPr="0060213D" w:rsidRDefault="002A541E" w:rsidP="00956EB5">
            <w:pPr>
              <w:jc w:val="center"/>
              <w:rPr>
                <w:sz w:val="22"/>
                <w:szCs w:val="22"/>
              </w:rPr>
            </w:pPr>
            <w:r w:rsidRPr="0060213D">
              <w:rPr>
                <w:rFonts w:ascii="Calibri" w:hAnsi="Calibri" w:cs="Calibri"/>
                <w:sz w:val="22"/>
                <w:szCs w:val="22"/>
              </w:rPr>
              <w:t>0.01</w:t>
            </w:r>
            <w:r>
              <w:rPr>
                <w:rFonts w:ascii="Calibri" w:hAnsi="Calibri" w:cs="Calibri"/>
                <w:sz w:val="22"/>
                <w:szCs w:val="22"/>
              </w:rPr>
              <w:t>8</w:t>
            </w:r>
          </w:p>
        </w:tc>
        <w:tc>
          <w:tcPr>
            <w:tcW w:w="805" w:type="pct"/>
            <w:vAlign w:val="center"/>
          </w:tcPr>
          <w:p w14:paraId="2B271384" w14:textId="77777777" w:rsidR="002A541E" w:rsidRPr="0060213D" w:rsidRDefault="002A541E" w:rsidP="00956EB5">
            <w:pPr>
              <w:jc w:val="center"/>
              <w:rPr>
                <w:sz w:val="22"/>
                <w:szCs w:val="22"/>
              </w:rPr>
            </w:pPr>
            <w:r w:rsidRPr="0060213D">
              <w:rPr>
                <w:rFonts w:ascii="Calibri" w:hAnsi="Calibri" w:cs="Calibri"/>
                <w:sz w:val="22"/>
                <w:szCs w:val="22"/>
              </w:rPr>
              <w:t>17.</w:t>
            </w:r>
            <w:r>
              <w:rPr>
                <w:rFonts w:ascii="Calibri" w:hAnsi="Calibri" w:cs="Calibri"/>
                <w:sz w:val="22"/>
                <w:szCs w:val="22"/>
              </w:rPr>
              <w:t>7</w:t>
            </w:r>
          </w:p>
        </w:tc>
      </w:tr>
      <w:tr w:rsidR="002A541E" w14:paraId="271DE4A7" w14:textId="77777777" w:rsidTr="00956EB5">
        <w:tc>
          <w:tcPr>
            <w:tcW w:w="1964" w:type="pct"/>
            <w:shd w:val="clear" w:color="auto" w:fill="C00000"/>
          </w:tcPr>
          <w:p w14:paraId="322E2D1F" w14:textId="77777777" w:rsidR="002A541E" w:rsidRPr="00C25DFD" w:rsidRDefault="002A541E" w:rsidP="00956EB5">
            <w:pPr>
              <w:jc w:val="both"/>
              <w:rPr>
                <w:sz w:val="22"/>
                <w:szCs w:val="22"/>
              </w:rPr>
            </w:pPr>
            <w:r w:rsidRPr="00C25DFD">
              <w:rPr>
                <w:sz w:val="22"/>
                <w:szCs w:val="22"/>
              </w:rPr>
              <w:t xml:space="preserve">Vol. of terminals </w:t>
            </w:r>
          </w:p>
        </w:tc>
        <w:tc>
          <w:tcPr>
            <w:tcW w:w="712" w:type="pct"/>
            <w:vAlign w:val="center"/>
          </w:tcPr>
          <w:p w14:paraId="3085D6D4" w14:textId="77777777" w:rsidR="002A541E" w:rsidRPr="0060213D" w:rsidRDefault="002A541E" w:rsidP="00956EB5">
            <w:pPr>
              <w:jc w:val="center"/>
              <w:rPr>
                <w:sz w:val="22"/>
                <w:szCs w:val="22"/>
              </w:rPr>
            </w:pPr>
            <w:r w:rsidRPr="0060213D">
              <w:rPr>
                <w:rFonts w:ascii="Calibri" w:hAnsi="Calibri" w:cs="Calibri"/>
                <w:sz w:val="22"/>
                <w:szCs w:val="22"/>
              </w:rPr>
              <w:t>0.912</w:t>
            </w:r>
          </w:p>
        </w:tc>
        <w:tc>
          <w:tcPr>
            <w:tcW w:w="823" w:type="pct"/>
            <w:vAlign w:val="center"/>
          </w:tcPr>
          <w:p w14:paraId="198F5152" w14:textId="77777777" w:rsidR="002A541E" w:rsidRPr="0060213D" w:rsidRDefault="002A541E" w:rsidP="00956EB5">
            <w:pPr>
              <w:jc w:val="center"/>
              <w:rPr>
                <w:sz w:val="22"/>
                <w:szCs w:val="22"/>
              </w:rPr>
            </w:pPr>
            <w:r w:rsidRPr="0060213D">
              <w:rPr>
                <w:rFonts w:ascii="Calibri" w:hAnsi="Calibri" w:cs="Calibri"/>
                <w:sz w:val="22"/>
                <w:szCs w:val="22"/>
              </w:rPr>
              <w:t>912.3</w:t>
            </w:r>
          </w:p>
        </w:tc>
        <w:tc>
          <w:tcPr>
            <w:tcW w:w="696" w:type="pct"/>
            <w:vAlign w:val="center"/>
          </w:tcPr>
          <w:p w14:paraId="2A2F6326" w14:textId="77777777" w:rsidR="002A541E" w:rsidRPr="0060213D" w:rsidRDefault="002A541E" w:rsidP="00956EB5">
            <w:pPr>
              <w:jc w:val="center"/>
              <w:rPr>
                <w:sz w:val="22"/>
                <w:szCs w:val="22"/>
              </w:rPr>
            </w:pPr>
            <w:r w:rsidRPr="0060213D">
              <w:rPr>
                <w:rFonts w:ascii="Calibri" w:hAnsi="Calibri" w:cs="Calibri"/>
                <w:sz w:val="22"/>
                <w:szCs w:val="22"/>
              </w:rPr>
              <w:t>0.912</w:t>
            </w:r>
          </w:p>
        </w:tc>
        <w:tc>
          <w:tcPr>
            <w:tcW w:w="805" w:type="pct"/>
            <w:vAlign w:val="center"/>
          </w:tcPr>
          <w:p w14:paraId="76FB70A8" w14:textId="77777777" w:rsidR="002A541E" w:rsidRPr="0060213D" w:rsidRDefault="002A541E" w:rsidP="00956EB5">
            <w:pPr>
              <w:jc w:val="center"/>
              <w:rPr>
                <w:sz w:val="22"/>
                <w:szCs w:val="22"/>
              </w:rPr>
            </w:pPr>
            <w:r w:rsidRPr="0060213D">
              <w:rPr>
                <w:rFonts w:ascii="Calibri" w:hAnsi="Calibri" w:cs="Calibri"/>
                <w:sz w:val="22"/>
                <w:szCs w:val="22"/>
              </w:rPr>
              <w:t>912.3</w:t>
            </w:r>
          </w:p>
        </w:tc>
      </w:tr>
      <w:tr w:rsidR="002A541E" w14:paraId="19C3A21A" w14:textId="77777777" w:rsidTr="00956EB5">
        <w:tc>
          <w:tcPr>
            <w:tcW w:w="1964" w:type="pct"/>
            <w:shd w:val="clear" w:color="auto" w:fill="C00000"/>
          </w:tcPr>
          <w:p w14:paraId="40D9ABD1" w14:textId="77777777" w:rsidR="002A541E" w:rsidRPr="00C25DFD" w:rsidRDefault="002A541E" w:rsidP="00956EB5">
            <w:pPr>
              <w:jc w:val="both"/>
              <w:rPr>
                <w:sz w:val="22"/>
                <w:szCs w:val="22"/>
              </w:rPr>
            </w:pPr>
            <w:r w:rsidRPr="00C25DFD">
              <w:rPr>
                <w:sz w:val="22"/>
                <w:szCs w:val="22"/>
              </w:rPr>
              <w:t>Terminal vol. / dwelling</w:t>
            </w:r>
          </w:p>
        </w:tc>
        <w:tc>
          <w:tcPr>
            <w:tcW w:w="712" w:type="pct"/>
            <w:vAlign w:val="center"/>
          </w:tcPr>
          <w:p w14:paraId="79A13FE6" w14:textId="77777777" w:rsidR="002A541E" w:rsidRPr="0060213D" w:rsidRDefault="002A541E" w:rsidP="00956EB5">
            <w:pPr>
              <w:jc w:val="center"/>
              <w:rPr>
                <w:sz w:val="22"/>
                <w:szCs w:val="22"/>
              </w:rPr>
            </w:pPr>
            <w:r w:rsidRPr="0060213D">
              <w:rPr>
                <w:rFonts w:ascii="Calibri" w:hAnsi="Calibri" w:cs="Calibri"/>
                <w:sz w:val="22"/>
                <w:szCs w:val="22"/>
              </w:rPr>
              <w:t>0.005</w:t>
            </w:r>
          </w:p>
        </w:tc>
        <w:tc>
          <w:tcPr>
            <w:tcW w:w="823" w:type="pct"/>
            <w:vAlign w:val="center"/>
          </w:tcPr>
          <w:p w14:paraId="3A1D45A1" w14:textId="77777777" w:rsidR="002A541E" w:rsidRPr="0060213D" w:rsidRDefault="002A541E" w:rsidP="00956EB5">
            <w:pPr>
              <w:jc w:val="center"/>
              <w:rPr>
                <w:sz w:val="22"/>
                <w:szCs w:val="22"/>
              </w:rPr>
            </w:pPr>
            <w:r w:rsidRPr="0060213D">
              <w:rPr>
                <w:rFonts w:ascii="Calibri" w:hAnsi="Calibri" w:cs="Calibri"/>
                <w:sz w:val="22"/>
                <w:szCs w:val="22"/>
              </w:rPr>
              <w:t>4.6</w:t>
            </w:r>
          </w:p>
        </w:tc>
        <w:tc>
          <w:tcPr>
            <w:tcW w:w="696" w:type="pct"/>
            <w:vAlign w:val="center"/>
          </w:tcPr>
          <w:p w14:paraId="1004FAB2" w14:textId="77777777" w:rsidR="002A541E" w:rsidRPr="0060213D" w:rsidRDefault="002A541E" w:rsidP="00956EB5">
            <w:pPr>
              <w:jc w:val="center"/>
              <w:rPr>
                <w:sz w:val="22"/>
                <w:szCs w:val="22"/>
              </w:rPr>
            </w:pPr>
            <w:r w:rsidRPr="0060213D">
              <w:rPr>
                <w:rFonts w:ascii="Calibri" w:hAnsi="Calibri" w:cs="Calibri"/>
                <w:sz w:val="22"/>
                <w:szCs w:val="22"/>
              </w:rPr>
              <w:t>0.005</w:t>
            </w:r>
          </w:p>
        </w:tc>
        <w:tc>
          <w:tcPr>
            <w:tcW w:w="805" w:type="pct"/>
            <w:vAlign w:val="center"/>
          </w:tcPr>
          <w:p w14:paraId="2A1243E6" w14:textId="77777777" w:rsidR="002A541E" w:rsidRPr="0060213D" w:rsidRDefault="002A541E" w:rsidP="00956EB5">
            <w:pPr>
              <w:keepNext/>
              <w:jc w:val="center"/>
              <w:rPr>
                <w:sz w:val="22"/>
                <w:szCs w:val="22"/>
              </w:rPr>
            </w:pPr>
            <w:r w:rsidRPr="0060213D">
              <w:rPr>
                <w:rFonts w:ascii="Calibri" w:hAnsi="Calibri" w:cs="Calibri"/>
                <w:sz w:val="22"/>
                <w:szCs w:val="22"/>
              </w:rPr>
              <w:t>4.6</w:t>
            </w:r>
          </w:p>
        </w:tc>
      </w:tr>
    </w:tbl>
    <w:p w14:paraId="012E873B" w14:textId="080DF90B" w:rsidR="002A541E" w:rsidRDefault="002A541E" w:rsidP="002A541E">
      <w:pPr>
        <w:pStyle w:val="Caption"/>
      </w:pPr>
      <w:r>
        <w:t xml:space="preserve">Table </w:t>
      </w:r>
      <w:r w:rsidR="003E50E8">
        <w:fldChar w:fldCharType="begin"/>
      </w:r>
      <w:r w:rsidR="003E50E8">
        <w:instrText xml:space="preserve"> SEQ Table \* ARABIC </w:instrText>
      </w:r>
      <w:r w:rsidR="003E50E8">
        <w:fldChar w:fldCharType="separate"/>
      </w:r>
      <w:r w:rsidR="00252302">
        <w:rPr>
          <w:noProof/>
        </w:rPr>
        <w:t>2</w:t>
      </w:r>
      <w:r w:rsidR="003E50E8">
        <w:rPr>
          <w:noProof/>
        </w:rPr>
        <w:fldChar w:fldCharType="end"/>
      </w:r>
      <w:r>
        <w:t>: Summary of system volume for the conventional model</w:t>
      </w:r>
    </w:p>
    <w:p w14:paraId="7106965B" w14:textId="77777777" w:rsidR="002A541E" w:rsidRDefault="002A541E" w:rsidP="002A541E">
      <w:pPr>
        <w:jc w:val="both"/>
      </w:pPr>
    </w:p>
    <w:p w14:paraId="24C31C8B" w14:textId="77777777" w:rsidR="002A541E" w:rsidRDefault="002A541E" w:rsidP="002A541E">
      <w:pPr>
        <w:jc w:val="both"/>
      </w:pPr>
    </w:p>
    <w:tbl>
      <w:tblPr>
        <w:tblStyle w:val="TableGrid"/>
        <w:tblW w:w="5000" w:type="pct"/>
        <w:tblLook w:val="04A0" w:firstRow="1" w:lastRow="0" w:firstColumn="1" w:lastColumn="0" w:noHBand="0" w:noVBand="1"/>
      </w:tblPr>
      <w:tblGrid>
        <w:gridCol w:w="3662"/>
        <w:gridCol w:w="1328"/>
        <w:gridCol w:w="1536"/>
        <w:gridCol w:w="1298"/>
        <w:gridCol w:w="1499"/>
      </w:tblGrid>
      <w:tr w:rsidR="002A541E" w14:paraId="1237AA61" w14:textId="77777777" w:rsidTr="00956EB5">
        <w:tc>
          <w:tcPr>
            <w:tcW w:w="1964" w:type="pct"/>
            <w:vMerge w:val="restart"/>
            <w:shd w:val="clear" w:color="auto" w:fill="C00000"/>
            <w:vAlign w:val="center"/>
          </w:tcPr>
          <w:p w14:paraId="6C2ACCB2" w14:textId="77777777" w:rsidR="002A541E" w:rsidRPr="00C25DFD" w:rsidRDefault="002A541E" w:rsidP="00956EB5">
            <w:pPr>
              <w:jc w:val="both"/>
              <w:rPr>
                <w:sz w:val="22"/>
                <w:szCs w:val="22"/>
              </w:rPr>
            </w:pPr>
            <w:r w:rsidRPr="00C25DFD">
              <w:rPr>
                <w:sz w:val="22"/>
                <w:szCs w:val="22"/>
              </w:rPr>
              <w:lastRenderedPageBreak/>
              <w:t>Multi-riser</w:t>
            </w:r>
          </w:p>
        </w:tc>
        <w:tc>
          <w:tcPr>
            <w:tcW w:w="1536" w:type="pct"/>
            <w:gridSpan w:val="2"/>
            <w:shd w:val="clear" w:color="auto" w:fill="C00000"/>
            <w:vAlign w:val="center"/>
          </w:tcPr>
          <w:p w14:paraId="40FBBE74" w14:textId="77777777" w:rsidR="002A541E" w:rsidRPr="00C25DFD" w:rsidRDefault="002A541E" w:rsidP="00956EB5">
            <w:pPr>
              <w:jc w:val="center"/>
              <w:rPr>
                <w:sz w:val="22"/>
                <w:szCs w:val="22"/>
              </w:rPr>
            </w:pPr>
            <w:r w:rsidRPr="00C25DFD">
              <w:rPr>
                <w:sz w:val="22"/>
                <w:szCs w:val="22"/>
              </w:rPr>
              <w:t>High temperature</w:t>
            </w:r>
          </w:p>
        </w:tc>
        <w:tc>
          <w:tcPr>
            <w:tcW w:w="1500" w:type="pct"/>
            <w:gridSpan w:val="2"/>
            <w:shd w:val="clear" w:color="auto" w:fill="C00000"/>
            <w:vAlign w:val="center"/>
          </w:tcPr>
          <w:p w14:paraId="14C6304D" w14:textId="77777777" w:rsidR="002A541E" w:rsidRPr="00C25DFD" w:rsidRDefault="002A541E" w:rsidP="00956EB5">
            <w:pPr>
              <w:jc w:val="center"/>
              <w:rPr>
                <w:sz w:val="22"/>
                <w:szCs w:val="22"/>
              </w:rPr>
            </w:pPr>
            <w:r w:rsidRPr="00C25DFD">
              <w:rPr>
                <w:sz w:val="22"/>
                <w:szCs w:val="22"/>
              </w:rPr>
              <w:t>Low temperature</w:t>
            </w:r>
          </w:p>
        </w:tc>
      </w:tr>
      <w:tr w:rsidR="002A541E" w14:paraId="3A9CA225" w14:textId="77777777" w:rsidTr="00956EB5">
        <w:tc>
          <w:tcPr>
            <w:tcW w:w="1964" w:type="pct"/>
            <w:vMerge/>
            <w:shd w:val="clear" w:color="auto" w:fill="C00000"/>
          </w:tcPr>
          <w:p w14:paraId="7C900BC0" w14:textId="77777777" w:rsidR="002A541E" w:rsidRPr="00C25DFD" w:rsidRDefault="002A541E" w:rsidP="00956EB5">
            <w:pPr>
              <w:jc w:val="both"/>
              <w:rPr>
                <w:sz w:val="22"/>
                <w:szCs w:val="22"/>
              </w:rPr>
            </w:pPr>
          </w:p>
        </w:tc>
        <w:tc>
          <w:tcPr>
            <w:tcW w:w="712" w:type="pct"/>
            <w:shd w:val="clear" w:color="auto" w:fill="C00000"/>
            <w:vAlign w:val="center"/>
          </w:tcPr>
          <w:p w14:paraId="3D1FADA6" w14:textId="77777777" w:rsidR="002A541E" w:rsidRPr="00C25DFD" w:rsidRDefault="002A541E" w:rsidP="00956EB5">
            <w:pPr>
              <w:jc w:val="center"/>
              <w:rPr>
                <w:sz w:val="22"/>
                <w:szCs w:val="22"/>
              </w:rPr>
            </w:pPr>
            <w:r w:rsidRPr="00C25DFD">
              <w:rPr>
                <w:sz w:val="22"/>
                <w:szCs w:val="22"/>
              </w:rPr>
              <w:t>m</w:t>
            </w:r>
            <w:r w:rsidRPr="00C25DFD">
              <w:rPr>
                <w:sz w:val="22"/>
                <w:szCs w:val="22"/>
                <w:vertAlign w:val="superscript"/>
              </w:rPr>
              <w:t>3</w:t>
            </w:r>
          </w:p>
        </w:tc>
        <w:tc>
          <w:tcPr>
            <w:tcW w:w="823" w:type="pct"/>
            <w:shd w:val="clear" w:color="auto" w:fill="C00000"/>
            <w:vAlign w:val="center"/>
          </w:tcPr>
          <w:p w14:paraId="03559E89" w14:textId="77777777" w:rsidR="002A541E" w:rsidRPr="00C25DFD" w:rsidRDefault="002A541E" w:rsidP="00956EB5">
            <w:pPr>
              <w:jc w:val="center"/>
              <w:rPr>
                <w:sz w:val="22"/>
                <w:szCs w:val="22"/>
              </w:rPr>
            </w:pPr>
            <w:proofErr w:type="spellStart"/>
            <w:r w:rsidRPr="00C25DFD">
              <w:rPr>
                <w:sz w:val="22"/>
                <w:szCs w:val="22"/>
              </w:rPr>
              <w:t>litres</w:t>
            </w:r>
            <w:proofErr w:type="spellEnd"/>
          </w:p>
        </w:tc>
        <w:tc>
          <w:tcPr>
            <w:tcW w:w="696" w:type="pct"/>
            <w:shd w:val="clear" w:color="auto" w:fill="C00000"/>
            <w:vAlign w:val="center"/>
          </w:tcPr>
          <w:p w14:paraId="06AFB076" w14:textId="77777777" w:rsidR="002A541E" w:rsidRPr="00C25DFD" w:rsidRDefault="002A541E" w:rsidP="00956EB5">
            <w:pPr>
              <w:jc w:val="center"/>
              <w:rPr>
                <w:sz w:val="22"/>
                <w:szCs w:val="22"/>
              </w:rPr>
            </w:pPr>
            <w:r w:rsidRPr="00C25DFD">
              <w:rPr>
                <w:sz w:val="22"/>
                <w:szCs w:val="22"/>
              </w:rPr>
              <w:t>m</w:t>
            </w:r>
            <w:r w:rsidRPr="00C25DFD">
              <w:rPr>
                <w:sz w:val="22"/>
                <w:szCs w:val="22"/>
                <w:vertAlign w:val="superscript"/>
              </w:rPr>
              <w:t>3</w:t>
            </w:r>
          </w:p>
        </w:tc>
        <w:tc>
          <w:tcPr>
            <w:tcW w:w="805" w:type="pct"/>
            <w:shd w:val="clear" w:color="auto" w:fill="C00000"/>
            <w:vAlign w:val="center"/>
          </w:tcPr>
          <w:p w14:paraId="1D11454F" w14:textId="77777777" w:rsidR="002A541E" w:rsidRPr="00C25DFD" w:rsidRDefault="002A541E" w:rsidP="00956EB5">
            <w:pPr>
              <w:jc w:val="center"/>
              <w:rPr>
                <w:sz w:val="22"/>
                <w:szCs w:val="22"/>
              </w:rPr>
            </w:pPr>
            <w:proofErr w:type="spellStart"/>
            <w:r w:rsidRPr="00C25DFD">
              <w:rPr>
                <w:sz w:val="22"/>
                <w:szCs w:val="22"/>
              </w:rPr>
              <w:t>litres</w:t>
            </w:r>
            <w:proofErr w:type="spellEnd"/>
          </w:p>
        </w:tc>
      </w:tr>
      <w:tr w:rsidR="002A541E" w14:paraId="541D8E01" w14:textId="77777777" w:rsidTr="00956EB5">
        <w:tc>
          <w:tcPr>
            <w:tcW w:w="1964" w:type="pct"/>
            <w:shd w:val="clear" w:color="auto" w:fill="C00000"/>
          </w:tcPr>
          <w:p w14:paraId="260532FE" w14:textId="77777777" w:rsidR="002A541E" w:rsidRPr="00C25DFD" w:rsidRDefault="002A541E" w:rsidP="00956EB5">
            <w:pPr>
              <w:jc w:val="both"/>
              <w:rPr>
                <w:sz w:val="22"/>
                <w:szCs w:val="22"/>
              </w:rPr>
            </w:pPr>
            <w:r w:rsidRPr="00C25DFD">
              <w:rPr>
                <w:sz w:val="22"/>
                <w:szCs w:val="22"/>
              </w:rPr>
              <w:t>Vol. of system</w:t>
            </w:r>
          </w:p>
        </w:tc>
        <w:tc>
          <w:tcPr>
            <w:tcW w:w="712" w:type="pct"/>
            <w:vAlign w:val="center"/>
          </w:tcPr>
          <w:p w14:paraId="3082140A" w14:textId="77777777" w:rsidR="002A541E" w:rsidRPr="00C25DFD" w:rsidRDefault="002A541E" w:rsidP="00956EB5">
            <w:pPr>
              <w:jc w:val="center"/>
              <w:rPr>
                <w:sz w:val="22"/>
                <w:szCs w:val="22"/>
              </w:rPr>
            </w:pPr>
            <w:r w:rsidRPr="00C25DFD">
              <w:rPr>
                <w:rFonts w:ascii="Calibri" w:hAnsi="Calibri" w:cs="Calibri"/>
                <w:color w:val="000000"/>
                <w:sz w:val="22"/>
                <w:szCs w:val="22"/>
              </w:rPr>
              <w:t>1.</w:t>
            </w:r>
            <w:r>
              <w:rPr>
                <w:rFonts w:ascii="Calibri" w:hAnsi="Calibri" w:cs="Calibri"/>
                <w:color w:val="000000"/>
                <w:sz w:val="22"/>
                <w:szCs w:val="22"/>
              </w:rPr>
              <w:t>803</w:t>
            </w:r>
          </w:p>
        </w:tc>
        <w:tc>
          <w:tcPr>
            <w:tcW w:w="823" w:type="pct"/>
            <w:vAlign w:val="center"/>
          </w:tcPr>
          <w:p w14:paraId="09478E57" w14:textId="77777777" w:rsidR="002A541E" w:rsidRPr="00C25DFD" w:rsidRDefault="002A541E" w:rsidP="00956EB5">
            <w:pPr>
              <w:jc w:val="center"/>
              <w:rPr>
                <w:sz w:val="22"/>
                <w:szCs w:val="22"/>
              </w:rPr>
            </w:pPr>
            <w:r w:rsidRPr="00C25DFD">
              <w:rPr>
                <w:rFonts w:ascii="Calibri" w:hAnsi="Calibri" w:cs="Calibri"/>
                <w:color w:val="000000"/>
                <w:sz w:val="22"/>
                <w:szCs w:val="22"/>
              </w:rPr>
              <w:t>1</w:t>
            </w:r>
            <w:r>
              <w:rPr>
                <w:rFonts w:ascii="Calibri" w:hAnsi="Calibri" w:cs="Calibri"/>
                <w:color w:val="000000"/>
                <w:sz w:val="22"/>
                <w:szCs w:val="22"/>
              </w:rPr>
              <w:t>803.3</w:t>
            </w:r>
          </w:p>
        </w:tc>
        <w:tc>
          <w:tcPr>
            <w:tcW w:w="696" w:type="pct"/>
            <w:vAlign w:val="center"/>
          </w:tcPr>
          <w:p w14:paraId="192C56C1" w14:textId="77777777" w:rsidR="002A541E" w:rsidRPr="00C25DFD" w:rsidRDefault="002A541E" w:rsidP="00956EB5">
            <w:pPr>
              <w:jc w:val="center"/>
              <w:rPr>
                <w:sz w:val="22"/>
                <w:szCs w:val="22"/>
              </w:rPr>
            </w:pPr>
            <w:r w:rsidRPr="00C25DFD">
              <w:rPr>
                <w:rFonts w:ascii="Calibri" w:hAnsi="Calibri" w:cs="Calibri"/>
                <w:color w:val="000000"/>
                <w:sz w:val="22"/>
                <w:szCs w:val="22"/>
              </w:rPr>
              <w:t>2.8</w:t>
            </w:r>
            <w:r>
              <w:rPr>
                <w:rFonts w:ascii="Calibri" w:hAnsi="Calibri" w:cs="Calibri"/>
                <w:color w:val="000000"/>
                <w:sz w:val="22"/>
                <w:szCs w:val="22"/>
              </w:rPr>
              <w:t>48</w:t>
            </w:r>
          </w:p>
        </w:tc>
        <w:tc>
          <w:tcPr>
            <w:tcW w:w="805" w:type="pct"/>
            <w:vAlign w:val="center"/>
          </w:tcPr>
          <w:p w14:paraId="5508F7F6" w14:textId="77777777" w:rsidR="002A541E" w:rsidRPr="00C25DFD" w:rsidRDefault="002A541E" w:rsidP="00956EB5">
            <w:pPr>
              <w:jc w:val="center"/>
              <w:rPr>
                <w:sz w:val="22"/>
                <w:szCs w:val="22"/>
              </w:rPr>
            </w:pPr>
            <w:r w:rsidRPr="00C25DFD">
              <w:rPr>
                <w:rFonts w:ascii="Calibri" w:hAnsi="Calibri" w:cs="Calibri"/>
                <w:color w:val="000000"/>
                <w:sz w:val="22"/>
                <w:szCs w:val="22"/>
              </w:rPr>
              <w:t>28</w:t>
            </w:r>
            <w:r>
              <w:rPr>
                <w:rFonts w:ascii="Calibri" w:hAnsi="Calibri" w:cs="Calibri"/>
                <w:color w:val="000000"/>
                <w:sz w:val="22"/>
                <w:szCs w:val="22"/>
              </w:rPr>
              <w:t>48.1</w:t>
            </w:r>
          </w:p>
        </w:tc>
      </w:tr>
      <w:tr w:rsidR="002A541E" w14:paraId="4019B8BA" w14:textId="77777777" w:rsidTr="00956EB5">
        <w:tc>
          <w:tcPr>
            <w:tcW w:w="1964" w:type="pct"/>
            <w:shd w:val="clear" w:color="auto" w:fill="C00000"/>
          </w:tcPr>
          <w:p w14:paraId="0CDD9CF3" w14:textId="77777777" w:rsidR="002A541E" w:rsidRPr="00C25DFD" w:rsidRDefault="002A541E" w:rsidP="00956EB5">
            <w:pPr>
              <w:jc w:val="both"/>
              <w:rPr>
                <w:sz w:val="22"/>
                <w:szCs w:val="22"/>
              </w:rPr>
            </w:pPr>
            <w:r w:rsidRPr="00C25DFD">
              <w:rPr>
                <w:sz w:val="22"/>
                <w:szCs w:val="22"/>
              </w:rPr>
              <w:t>Vol. /dwelling</w:t>
            </w:r>
          </w:p>
        </w:tc>
        <w:tc>
          <w:tcPr>
            <w:tcW w:w="712" w:type="pct"/>
            <w:vAlign w:val="center"/>
          </w:tcPr>
          <w:p w14:paraId="2CDACEED" w14:textId="77777777" w:rsidR="002A541E" w:rsidRPr="00C25DFD" w:rsidRDefault="002A541E" w:rsidP="00956EB5">
            <w:pPr>
              <w:jc w:val="center"/>
              <w:rPr>
                <w:sz w:val="22"/>
                <w:szCs w:val="22"/>
              </w:rPr>
            </w:pPr>
            <w:r w:rsidRPr="00C25DFD">
              <w:rPr>
                <w:rFonts w:ascii="Calibri" w:hAnsi="Calibri" w:cs="Calibri"/>
                <w:color w:val="000000"/>
                <w:sz w:val="22"/>
                <w:szCs w:val="22"/>
              </w:rPr>
              <w:t>0.009</w:t>
            </w:r>
          </w:p>
        </w:tc>
        <w:tc>
          <w:tcPr>
            <w:tcW w:w="823" w:type="pct"/>
            <w:vAlign w:val="center"/>
          </w:tcPr>
          <w:p w14:paraId="614119DC" w14:textId="77777777" w:rsidR="002A541E" w:rsidRPr="00C25DFD" w:rsidRDefault="002A541E" w:rsidP="00956EB5">
            <w:pPr>
              <w:jc w:val="center"/>
              <w:rPr>
                <w:sz w:val="22"/>
                <w:szCs w:val="22"/>
              </w:rPr>
            </w:pPr>
            <w:r>
              <w:rPr>
                <w:sz w:val="22"/>
                <w:szCs w:val="22"/>
              </w:rPr>
              <w:t>9.0</w:t>
            </w:r>
          </w:p>
        </w:tc>
        <w:tc>
          <w:tcPr>
            <w:tcW w:w="696" w:type="pct"/>
            <w:vAlign w:val="center"/>
          </w:tcPr>
          <w:p w14:paraId="1989FCDE" w14:textId="77777777" w:rsidR="002A541E" w:rsidRPr="00C25DFD" w:rsidRDefault="002A541E" w:rsidP="00956EB5">
            <w:pPr>
              <w:jc w:val="center"/>
              <w:rPr>
                <w:sz w:val="22"/>
                <w:szCs w:val="22"/>
              </w:rPr>
            </w:pPr>
            <w:r w:rsidRPr="00C25DFD">
              <w:rPr>
                <w:rFonts w:ascii="Calibri" w:hAnsi="Calibri" w:cs="Calibri"/>
                <w:color w:val="000000"/>
                <w:sz w:val="22"/>
                <w:szCs w:val="22"/>
              </w:rPr>
              <w:t>0.014</w:t>
            </w:r>
          </w:p>
        </w:tc>
        <w:tc>
          <w:tcPr>
            <w:tcW w:w="805" w:type="pct"/>
            <w:vAlign w:val="center"/>
          </w:tcPr>
          <w:p w14:paraId="5DB6925C" w14:textId="77777777" w:rsidR="002A541E" w:rsidRPr="00C25DFD" w:rsidRDefault="002A541E" w:rsidP="00956EB5">
            <w:pPr>
              <w:jc w:val="center"/>
              <w:rPr>
                <w:sz w:val="22"/>
                <w:szCs w:val="22"/>
              </w:rPr>
            </w:pPr>
            <w:r w:rsidRPr="00C25DFD">
              <w:rPr>
                <w:rFonts w:ascii="Calibri" w:hAnsi="Calibri" w:cs="Calibri"/>
                <w:color w:val="000000"/>
                <w:sz w:val="22"/>
                <w:szCs w:val="22"/>
              </w:rPr>
              <w:t>14.2</w:t>
            </w:r>
          </w:p>
        </w:tc>
      </w:tr>
      <w:tr w:rsidR="002A541E" w14:paraId="42513B6C" w14:textId="77777777" w:rsidTr="00956EB5">
        <w:tc>
          <w:tcPr>
            <w:tcW w:w="1964" w:type="pct"/>
            <w:shd w:val="clear" w:color="auto" w:fill="C00000"/>
          </w:tcPr>
          <w:p w14:paraId="35D0813A" w14:textId="77777777" w:rsidR="002A541E" w:rsidRPr="00C25DFD" w:rsidRDefault="002A541E" w:rsidP="00956EB5">
            <w:pPr>
              <w:jc w:val="both"/>
              <w:rPr>
                <w:sz w:val="22"/>
                <w:szCs w:val="22"/>
              </w:rPr>
            </w:pPr>
            <w:r w:rsidRPr="00C25DFD">
              <w:rPr>
                <w:sz w:val="22"/>
                <w:szCs w:val="22"/>
              </w:rPr>
              <w:t xml:space="preserve">Vol. of terminals </w:t>
            </w:r>
          </w:p>
        </w:tc>
        <w:tc>
          <w:tcPr>
            <w:tcW w:w="712" w:type="pct"/>
            <w:vAlign w:val="center"/>
          </w:tcPr>
          <w:p w14:paraId="1AFA56C1" w14:textId="77777777" w:rsidR="002A541E" w:rsidRPr="00C25DFD" w:rsidRDefault="002A541E" w:rsidP="00956EB5">
            <w:pPr>
              <w:jc w:val="center"/>
              <w:rPr>
                <w:sz w:val="22"/>
                <w:szCs w:val="22"/>
              </w:rPr>
            </w:pPr>
            <w:r w:rsidRPr="00C25DFD">
              <w:rPr>
                <w:rFonts w:ascii="Calibri" w:hAnsi="Calibri" w:cs="Calibri"/>
                <w:color w:val="000000"/>
                <w:sz w:val="22"/>
                <w:szCs w:val="22"/>
              </w:rPr>
              <w:t>0.152</w:t>
            </w:r>
          </w:p>
        </w:tc>
        <w:tc>
          <w:tcPr>
            <w:tcW w:w="823" w:type="pct"/>
            <w:vAlign w:val="center"/>
          </w:tcPr>
          <w:p w14:paraId="10DEE4EF" w14:textId="77777777" w:rsidR="002A541E" w:rsidRPr="00C25DFD" w:rsidRDefault="002A541E" w:rsidP="00956EB5">
            <w:pPr>
              <w:jc w:val="center"/>
              <w:rPr>
                <w:sz w:val="22"/>
                <w:szCs w:val="22"/>
              </w:rPr>
            </w:pPr>
            <w:r w:rsidRPr="00C25DFD">
              <w:rPr>
                <w:rFonts w:ascii="Calibri" w:hAnsi="Calibri" w:cs="Calibri"/>
                <w:color w:val="000000"/>
                <w:sz w:val="22"/>
                <w:szCs w:val="22"/>
              </w:rPr>
              <w:t>152.1</w:t>
            </w:r>
          </w:p>
        </w:tc>
        <w:tc>
          <w:tcPr>
            <w:tcW w:w="696" w:type="pct"/>
            <w:vAlign w:val="center"/>
          </w:tcPr>
          <w:p w14:paraId="52016EDA" w14:textId="77777777" w:rsidR="002A541E" w:rsidRPr="00C25DFD" w:rsidRDefault="002A541E" w:rsidP="00956EB5">
            <w:pPr>
              <w:jc w:val="center"/>
              <w:rPr>
                <w:sz w:val="22"/>
                <w:szCs w:val="22"/>
              </w:rPr>
            </w:pPr>
            <w:r w:rsidRPr="00C25DFD">
              <w:rPr>
                <w:rFonts w:ascii="Calibri" w:hAnsi="Calibri" w:cs="Calibri"/>
                <w:color w:val="000000"/>
                <w:sz w:val="22"/>
                <w:szCs w:val="22"/>
              </w:rPr>
              <w:t>0.152</w:t>
            </w:r>
          </w:p>
        </w:tc>
        <w:tc>
          <w:tcPr>
            <w:tcW w:w="805" w:type="pct"/>
            <w:vAlign w:val="center"/>
          </w:tcPr>
          <w:p w14:paraId="1C068CB8" w14:textId="77777777" w:rsidR="002A541E" w:rsidRPr="00C25DFD" w:rsidRDefault="002A541E" w:rsidP="00956EB5">
            <w:pPr>
              <w:jc w:val="center"/>
              <w:rPr>
                <w:sz w:val="22"/>
                <w:szCs w:val="22"/>
              </w:rPr>
            </w:pPr>
            <w:r w:rsidRPr="00C25DFD">
              <w:rPr>
                <w:rFonts w:ascii="Calibri" w:hAnsi="Calibri" w:cs="Calibri"/>
                <w:color w:val="000000"/>
                <w:sz w:val="22"/>
                <w:szCs w:val="22"/>
              </w:rPr>
              <w:t>152.1</w:t>
            </w:r>
          </w:p>
        </w:tc>
      </w:tr>
      <w:tr w:rsidR="002A541E" w14:paraId="4E6935BD" w14:textId="77777777" w:rsidTr="00956EB5">
        <w:tc>
          <w:tcPr>
            <w:tcW w:w="1964" w:type="pct"/>
            <w:shd w:val="clear" w:color="auto" w:fill="C00000"/>
          </w:tcPr>
          <w:p w14:paraId="41616A23" w14:textId="77777777" w:rsidR="002A541E" w:rsidRPr="00C25DFD" w:rsidRDefault="002A541E" w:rsidP="00956EB5">
            <w:pPr>
              <w:jc w:val="both"/>
              <w:rPr>
                <w:sz w:val="22"/>
                <w:szCs w:val="22"/>
              </w:rPr>
            </w:pPr>
            <w:r w:rsidRPr="00C25DFD">
              <w:rPr>
                <w:sz w:val="22"/>
                <w:szCs w:val="22"/>
              </w:rPr>
              <w:t>Terminal vol. / dwelling</w:t>
            </w:r>
          </w:p>
        </w:tc>
        <w:tc>
          <w:tcPr>
            <w:tcW w:w="712" w:type="pct"/>
            <w:vAlign w:val="center"/>
          </w:tcPr>
          <w:p w14:paraId="51319AA1" w14:textId="77777777" w:rsidR="002A541E" w:rsidRPr="00C25DFD" w:rsidRDefault="002A541E" w:rsidP="00956EB5">
            <w:pPr>
              <w:jc w:val="center"/>
              <w:rPr>
                <w:sz w:val="22"/>
                <w:szCs w:val="22"/>
              </w:rPr>
            </w:pPr>
            <w:r w:rsidRPr="00C25DFD">
              <w:rPr>
                <w:rFonts w:ascii="Calibri" w:hAnsi="Calibri" w:cs="Calibri"/>
                <w:color w:val="000000"/>
                <w:sz w:val="22"/>
                <w:szCs w:val="22"/>
              </w:rPr>
              <w:t>0.001</w:t>
            </w:r>
          </w:p>
        </w:tc>
        <w:tc>
          <w:tcPr>
            <w:tcW w:w="823" w:type="pct"/>
            <w:vAlign w:val="center"/>
          </w:tcPr>
          <w:p w14:paraId="7705EB20" w14:textId="77777777" w:rsidR="002A541E" w:rsidRPr="00C25DFD" w:rsidRDefault="002A541E" w:rsidP="00956EB5">
            <w:pPr>
              <w:jc w:val="center"/>
              <w:rPr>
                <w:sz w:val="22"/>
                <w:szCs w:val="22"/>
              </w:rPr>
            </w:pPr>
            <w:r w:rsidRPr="00C25DFD">
              <w:rPr>
                <w:rFonts w:ascii="Calibri" w:hAnsi="Calibri" w:cs="Calibri"/>
                <w:color w:val="000000"/>
                <w:sz w:val="22"/>
                <w:szCs w:val="22"/>
              </w:rPr>
              <w:t>0.8</w:t>
            </w:r>
          </w:p>
        </w:tc>
        <w:tc>
          <w:tcPr>
            <w:tcW w:w="696" w:type="pct"/>
            <w:vAlign w:val="center"/>
          </w:tcPr>
          <w:p w14:paraId="391A2642" w14:textId="77777777" w:rsidR="002A541E" w:rsidRPr="00C25DFD" w:rsidRDefault="002A541E" w:rsidP="00956EB5">
            <w:pPr>
              <w:jc w:val="center"/>
              <w:rPr>
                <w:sz w:val="22"/>
                <w:szCs w:val="22"/>
              </w:rPr>
            </w:pPr>
            <w:r w:rsidRPr="00C25DFD">
              <w:rPr>
                <w:rFonts w:ascii="Calibri" w:hAnsi="Calibri" w:cs="Calibri"/>
                <w:color w:val="000000"/>
                <w:sz w:val="22"/>
                <w:szCs w:val="22"/>
              </w:rPr>
              <w:t>0.001</w:t>
            </w:r>
          </w:p>
        </w:tc>
        <w:tc>
          <w:tcPr>
            <w:tcW w:w="805" w:type="pct"/>
            <w:vAlign w:val="center"/>
          </w:tcPr>
          <w:p w14:paraId="3B3A80BA" w14:textId="77777777" w:rsidR="002A541E" w:rsidRPr="00C25DFD" w:rsidRDefault="002A541E" w:rsidP="00956EB5">
            <w:pPr>
              <w:keepNext/>
              <w:jc w:val="center"/>
              <w:rPr>
                <w:sz w:val="22"/>
                <w:szCs w:val="22"/>
              </w:rPr>
            </w:pPr>
            <w:r w:rsidRPr="00C25DFD">
              <w:rPr>
                <w:rFonts w:ascii="Calibri" w:hAnsi="Calibri" w:cs="Calibri"/>
                <w:color w:val="000000"/>
                <w:sz w:val="22"/>
                <w:szCs w:val="22"/>
              </w:rPr>
              <w:t>0.8</w:t>
            </w:r>
          </w:p>
        </w:tc>
      </w:tr>
    </w:tbl>
    <w:p w14:paraId="353F6928" w14:textId="13E47FEA" w:rsidR="002A541E" w:rsidRDefault="002A541E" w:rsidP="002A541E">
      <w:pPr>
        <w:pStyle w:val="Caption"/>
      </w:pPr>
      <w:r>
        <w:t xml:space="preserve">Table </w:t>
      </w:r>
      <w:r w:rsidR="003E50E8">
        <w:fldChar w:fldCharType="begin"/>
      </w:r>
      <w:r w:rsidR="003E50E8">
        <w:instrText xml:space="preserve"> SEQ Table \* ARABIC </w:instrText>
      </w:r>
      <w:r w:rsidR="003E50E8">
        <w:fldChar w:fldCharType="separate"/>
      </w:r>
      <w:r w:rsidR="00252302">
        <w:rPr>
          <w:noProof/>
        </w:rPr>
        <w:t>3</w:t>
      </w:r>
      <w:r w:rsidR="003E50E8">
        <w:rPr>
          <w:noProof/>
        </w:rPr>
        <w:fldChar w:fldCharType="end"/>
      </w:r>
      <w:r>
        <w:t>: Summary of system volume for the multi-riser model</w:t>
      </w:r>
    </w:p>
    <w:p w14:paraId="26F4485A" w14:textId="77777777" w:rsidR="00FE79EA" w:rsidRDefault="00FE79EA" w:rsidP="002A541E">
      <w:pPr>
        <w:rPr>
          <w:lang w:val="en-GB"/>
        </w:rPr>
      </w:pPr>
    </w:p>
    <w:p w14:paraId="6F2C3356" w14:textId="77777777" w:rsidR="002A541E" w:rsidRPr="007638C5" w:rsidRDefault="002A541E" w:rsidP="002A541E">
      <w:pPr>
        <w:pStyle w:val="Heading1"/>
      </w:pPr>
      <w:r w:rsidRPr="007638C5">
        <w:t xml:space="preserve">Summary of parameters </w:t>
      </w:r>
    </w:p>
    <w:p w14:paraId="0DBA68CD" w14:textId="77777777" w:rsidR="002A541E" w:rsidRPr="007638C5" w:rsidRDefault="002A541E" w:rsidP="002A541E">
      <w:pPr>
        <w:jc w:val="both"/>
        <w:rPr>
          <w:lang w:val="en-GB"/>
        </w:rPr>
      </w:pPr>
      <w:r>
        <w:rPr>
          <w:lang w:val="en-GB"/>
        </w:rPr>
        <w:t>The following table lists the parameters used to calculate the pipe sizes in both reference models.</w:t>
      </w:r>
    </w:p>
    <w:tbl>
      <w:tblPr>
        <w:tblStyle w:val="TableGrid"/>
        <w:tblW w:w="0" w:type="auto"/>
        <w:tblLook w:val="04A0" w:firstRow="1" w:lastRow="0" w:firstColumn="1" w:lastColumn="0" w:noHBand="0" w:noVBand="1"/>
      </w:tblPr>
      <w:tblGrid>
        <w:gridCol w:w="4106"/>
        <w:gridCol w:w="2693"/>
        <w:gridCol w:w="2524"/>
      </w:tblGrid>
      <w:tr w:rsidR="002A541E" w14:paraId="7F12E1D9" w14:textId="77777777" w:rsidTr="00956EB5">
        <w:tc>
          <w:tcPr>
            <w:tcW w:w="4106" w:type="dxa"/>
            <w:shd w:val="clear" w:color="auto" w:fill="C00000"/>
          </w:tcPr>
          <w:p w14:paraId="43532C02" w14:textId="77777777" w:rsidR="002A541E" w:rsidRPr="007638C5" w:rsidRDefault="002A541E" w:rsidP="00956EB5">
            <w:pPr>
              <w:jc w:val="both"/>
              <w:rPr>
                <w:sz w:val="22"/>
                <w:szCs w:val="22"/>
                <w:lang w:val="en-GB"/>
              </w:rPr>
            </w:pPr>
          </w:p>
        </w:tc>
        <w:tc>
          <w:tcPr>
            <w:tcW w:w="2693" w:type="dxa"/>
            <w:shd w:val="clear" w:color="auto" w:fill="C00000"/>
            <w:vAlign w:val="center"/>
          </w:tcPr>
          <w:p w14:paraId="68CC10A8" w14:textId="77777777" w:rsidR="002A541E" w:rsidRPr="007638C5" w:rsidRDefault="002A541E" w:rsidP="00956EB5">
            <w:pPr>
              <w:jc w:val="center"/>
              <w:rPr>
                <w:sz w:val="22"/>
                <w:szCs w:val="22"/>
                <w:lang w:val="en-GB"/>
              </w:rPr>
            </w:pPr>
            <w:r w:rsidRPr="007638C5">
              <w:rPr>
                <w:sz w:val="22"/>
                <w:szCs w:val="22"/>
                <w:lang w:val="en-GB"/>
              </w:rPr>
              <w:t>High temperature</w:t>
            </w:r>
          </w:p>
        </w:tc>
        <w:tc>
          <w:tcPr>
            <w:tcW w:w="2524" w:type="dxa"/>
            <w:shd w:val="clear" w:color="auto" w:fill="C00000"/>
            <w:vAlign w:val="center"/>
          </w:tcPr>
          <w:p w14:paraId="77A7E541" w14:textId="77777777" w:rsidR="002A541E" w:rsidRPr="007638C5" w:rsidRDefault="002A541E" w:rsidP="00956EB5">
            <w:pPr>
              <w:jc w:val="center"/>
              <w:rPr>
                <w:sz w:val="22"/>
                <w:szCs w:val="22"/>
                <w:lang w:val="en-GB"/>
              </w:rPr>
            </w:pPr>
            <w:r w:rsidRPr="007638C5">
              <w:rPr>
                <w:sz w:val="22"/>
                <w:szCs w:val="22"/>
                <w:lang w:val="en-GB"/>
              </w:rPr>
              <w:t>Low temperature</w:t>
            </w:r>
          </w:p>
        </w:tc>
      </w:tr>
      <w:tr w:rsidR="002A541E" w14:paraId="51ACDDC9" w14:textId="77777777" w:rsidTr="00956EB5">
        <w:tc>
          <w:tcPr>
            <w:tcW w:w="4106" w:type="dxa"/>
          </w:tcPr>
          <w:p w14:paraId="126F5020" w14:textId="77777777" w:rsidR="002A541E" w:rsidRPr="007638C5" w:rsidRDefault="002A541E" w:rsidP="00956EB5">
            <w:pPr>
              <w:jc w:val="both"/>
              <w:rPr>
                <w:sz w:val="22"/>
                <w:szCs w:val="22"/>
                <w:lang w:val="en-GB"/>
              </w:rPr>
            </w:pPr>
            <w:r w:rsidRPr="007638C5">
              <w:rPr>
                <w:sz w:val="22"/>
                <w:szCs w:val="22"/>
                <w:lang w:val="en-GB"/>
              </w:rPr>
              <w:t xml:space="preserve">Primary flow (˚C) </w:t>
            </w:r>
          </w:p>
        </w:tc>
        <w:tc>
          <w:tcPr>
            <w:tcW w:w="2693" w:type="dxa"/>
            <w:vAlign w:val="center"/>
          </w:tcPr>
          <w:p w14:paraId="53618CB4" w14:textId="77777777" w:rsidR="002A541E" w:rsidRPr="007638C5" w:rsidRDefault="002A541E" w:rsidP="00956EB5">
            <w:pPr>
              <w:jc w:val="center"/>
              <w:rPr>
                <w:sz w:val="22"/>
                <w:szCs w:val="22"/>
                <w:lang w:val="en-GB"/>
              </w:rPr>
            </w:pPr>
            <w:r w:rsidRPr="007638C5">
              <w:rPr>
                <w:sz w:val="22"/>
                <w:szCs w:val="22"/>
                <w:lang w:val="en-GB"/>
              </w:rPr>
              <w:t>70</w:t>
            </w:r>
          </w:p>
        </w:tc>
        <w:tc>
          <w:tcPr>
            <w:tcW w:w="2524" w:type="dxa"/>
            <w:vAlign w:val="center"/>
          </w:tcPr>
          <w:p w14:paraId="605FAE41" w14:textId="77777777" w:rsidR="002A541E" w:rsidRPr="007638C5" w:rsidRDefault="002A541E" w:rsidP="00956EB5">
            <w:pPr>
              <w:jc w:val="center"/>
              <w:rPr>
                <w:sz w:val="22"/>
                <w:szCs w:val="22"/>
                <w:lang w:val="en-GB"/>
              </w:rPr>
            </w:pPr>
            <w:r w:rsidRPr="007638C5">
              <w:rPr>
                <w:sz w:val="22"/>
                <w:szCs w:val="22"/>
                <w:lang w:val="en-GB"/>
              </w:rPr>
              <w:t>55</w:t>
            </w:r>
          </w:p>
        </w:tc>
      </w:tr>
      <w:tr w:rsidR="002A541E" w14:paraId="428BFCCA" w14:textId="77777777" w:rsidTr="00956EB5">
        <w:tc>
          <w:tcPr>
            <w:tcW w:w="4106" w:type="dxa"/>
          </w:tcPr>
          <w:p w14:paraId="6FC5509E" w14:textId="77777777" w:rsidR="002A541E" w:rsidRPr="007638C5" w:rsidRDefault="002A541E" w:rsidP="00956EB5">
            <w:pPr>
              <w:jc w:val="both"/>
              <w:rPr>
                <w:sz w:val="22"/>
                <w:szCs w:val="22"/>
                <w:lang w:val="en-GB"/>
              </w:rPr>
            </w:pPr>
            <w:r w:rsidRPr="007638C5">
              <w:rPr>
                <w:sz w:val="22"/>
                <w:szCs w:val="22"/>
                <w:lang w:val="en-GB"/>
              </w:rPr>
              <w:t>Primary return (˚C)</w:t>
            </w:r>
          </w:p>
        </w:tc>
        <w:tc>
          <w:tcPr>
            <w:tcW w:w="2693" w:type="dxa"/>
            <w:vAlign w:val="center"/>
          </w:tcPr>
          <w:p w14:paraId="7FB2AD1D" w14:textId="77777777" w:rsidR="002A541E" w:rsidRPr="007638C5" w:rsidRDefault="002A541E" w:rsidP="00956EB5">
            <w:pPr>
              <w:jc w:val="center"/>
              <w:rPr>
                <w:sz w:val="22"/>
                <w:szCs w:val="22"/>
                <w:lang w:val="en-GB"/>
              </w:rPr>
            </w:pPr>
            <w:r w:rsidRPr="007638C5">
              <w:rPr>
                <w:sz w:val="22"/>
                <w:szCs w:val="22"/>
                <w:lang w:val="en-GB"/>
              </w:rPr>
              <w:t>30</w:t>
            </w:r>
          </w:p>
        </w:tc>
        <w:tc>
          <w:tcPr>
            <w:tcW w:w="2524" w:type="dxa"/>
            <w:vAlign w:val="center"/>
          </w:tcPr>
          <w:p w14:paraId="04A82B26" w14:textId="77777777" w:rsidR="002A541E" w:rsidRPr="007638C5" w:rsidRDefault="002A541E" w:rsidP="00956EB5">
            <w:pPr>
              <w:jc w:val="center"/>
              <w:rPr>
                <w:sz w:val="22"/>
                <w:szCs w:val="22"/>
                <w:lang w:val="en-GB"/>
              </w:rPr>
            </w:pPr>
            <w:r w:rsidRPr="007638C5">
              <w:rPr>
                <w:sz w:val="22"/>
                <w:szCs w:val="22"/>
                <w:lang w:val="en-GB"/>
              </w:rPr>
              <w:t>33</w:t>
            </w:r>
          </w:p>
        </w:tc>
      </w:tr>
      <w:tr w:rsidR="002A541E" w14:paraId="23CA3CBB" w14:textId="77777777" w:rsidTr="00956EB5">
        <w:tc>
          <w:tcPr>
            <w:tcW w:w="4106" w:type="dxa"/>
          </w:tcPr>
          <w:p w14:paraId="0F6D9CC4" w14:textId="77777777" w:rsidR="002A541E" w:rsidRPr="007638C5" w:rsidRDefault="002A541E" w:rsidP="00956EB5">
            <w:pPr>
              <w:jc w:val="both"/>
              <w:rPr>
                <w:sz w:val="22"/>
                <w:szCs w:val="22"/>
                <w:lang w:val="en-GB"/>
              </w:rPr>
            </w:pPr>
            <w:r w:rsidRPr="007638C5">
              <w:rPr>
                <w:sz w:val="22"/>
                <w:szCs w:val="22"/>
                <w:lang w:val="en-GB"/>
              </w:rPr>
              <w:t>DHW Set point (˚C)</w:t>
            </w:r>
          </w:p>
        </w:tc>
        <w:tc>
          <w:tcPr>
            <w:tcW w:w="5217" w:type="dxa"/>
            <w:gridSpan w:val="2"/>
            <w:vAlign w:val="center"/>
          </w:tcPr>
          <w:p w14:paraId="7B23B456" w14:textId="77777777" w:rsidR="002A541E" w:rsidRPr="007638C5" w:rsidRDefault="002A541E" w:rsidP="00956EB5">
            <w:pPr>
              <w:jc w:val="center"/>
              <w:rPr>
                <w:sz w:val="22"/>
                <w:szCs w:val="22"/>
                <w:lang w:val="en-GB"/>
              </w:rPr>
            </w:pPr>
            <w:r w:rsidRPr="007638C5">
              <w:rPr>
                <w:sz w:val="22"/>
                <w:szCs w:val="22"/>
                <w:lang w:val="en-GB"/>
              </w:rPr>
              <w:t>50</w:t>
            </w:r>
          </w:p>
        </w:tc>
      </w:tr>
      <w:tr w:rsidR="002A541E" w14:paraId="5E9F3300" w14:textId="77777777" w:rsidTr="00956EB5">
        <w:tc>
          <w:tcPr>
            <w:tcW w:w="4106" w:type="dxa"/>
          </w:tcPr>
          <w:p w14:paraId="2088A495" w14:textId="77777777" w:rsidR="002A541E" w:rsidRPr="007638C5" w:rsidRDefault="002A541E" w:rsidP="00956EB5">
            <w:pPr>
              <w:jc w:val="both"/>
              <w:rPr>
                <w:sz w:val="22"/>
                <w:szCs w:val="22"/>
                <w:lang w:val="en-GB"/>
              </w:rPr>
            </w:pPr>
            <w:r w:rsidRPr="007638C5">
              <w:rPr>
                <w:sz w:val="22"/>
                <w:szCs w:val="22"/>
                <w:lang w:val="en-GB"/>
              </w:rPr>
              <w:t>DHW return (˚C)</w:t>
            </w:r>
          </w:p>
        </w:tc>
        <w:tc>
          <w:tcPr>
            <w:tcW w:w="2693" w:type="dxa"/>
            <w:vAlign w:val="center"/>
          </w:tcPr>
          <w:p w14:paraId="351EA905" w14:textId="77777777" w:rsidR="002A541E" w:rsidRPr="007638C5" w:rsidRDefault="002A541E" w:rsidP="00956EB5">
            <w:pPr>
              <w:jc w:val="center"/>
              <w:rPr>
                <w:sz w:val="22"/>
                <w:szCs w:val="22"/>
                <w:lang w:val="en-GB"/>
              </w:rPr>
            </w:pPr>
            <w:r w:rsidRPr="007638C5">
              <w:rPr>
                <w:sz w:val="22"/>
                <w:szCs w:val="22"/>
                <w:lang w:val="en-GB"/>
              </w:rPr>
              <w:t>25</w:t>
            </w:r>
          </w:p>
        </w:tc>
        <w:tc>
          <w:tcPr>
            <w:tcW w:w="2524" w:type="dxa"/>
            <w:vAlign w:val="center"/>
          </w:tcPr>
          <w:p w14:paraId="7446E3D4" w14:textId="77777777" w:rsidR="002A541E" w:rsidRPr="007638C5" w:rsidRDefault="002A541E" w:rsidP="00956EB5">
            <w:pPr>
              <w:jc w:val="center"/>
              <w:rPr>
                <w:sz w:val="22"/>
                <w:szCs w:val="22"/>
                <w:lang w:val="en-GB"/>
              </w:rPr>
            </w:pPr>
            <w:r w:rsidRPr="007638C5">
              <w:rPr>
                <w:sz w:val="22"/>
                <w:szCs w:val="22"/>
                <w:lang w:val="en-GB"/>
              </w:rPr>
              <w:t>30</w:t>
            </w:r>
          </w:p>
        </w:tc>
      </w:tr>
      <w:tr w:rsidR="002A541E" w14:paraId="25478608" w14:textId="77777777" w:rsidTr="00956EB5">
        <w:tc>
          <w:tcPr>
            <w:tcW w:w="4106" w:type="dxa"/>
          </w:tcPr>
          <w:p w14:paraId="1C7471ED" w14:textId="77777777" w:rsidR="002A541E" w:rsidRPr="007638C5" w:rsidRDefault="002A541E" w:rsidP="00956EB5">
            <w:pPr>
              <w:jc w:val="both"/>
              <w:rPr>
                <w:sz w:val="22"/>
                <w:szCs w:val="22"/>
                <w:lang w:val="en-GB"/>
              </w:rPr>
            </w:pPr>
            <w:r w:rsidRPr="007638C5">
              <w:rPr>
                <w:sz w:val="22"/>
                <w:szCs w:val="22"/>
                <w:lang w:val="en-GB"/>
              </w:rPr>
              <w:t>Space heating return (˚C)</w:t>
            </w:r>
          </w:p>
        </w:tc>
        <w:tc>
          <w:tcPr>
            <w:tcW w:w="2693" w:type="dxa"/>
            <w:vAlign w:val="center"/>
          </w:tcPr>
          <w:p w14:paraId="3A434C4B" w14:textId="77777777" w:rsidR="002A541E" w:rsidRPr="007638C5" w:rsidRDefault="002A541E" w:rsidP="00956EB5">
            <w:pPr>
              <w:jc w:val="center"/>
              <w:rPr>
                <w:sz w:val="22"/>
                <w:szCs w:val="22"/>
                <w:lang w:val="en-GB"/>
              </w:rPr>
            </w:pPr>
            <w:r w:rsidRPr="007638C5">
              <w:rPr>
                <w:sz w:val="22"/>
                <w:szCs w:val="22"/>
                <w:lang w:val="en-GB"/>
              </w:rPr>
              <w:t>43</w:t>
            </w:r>
          </w:p>
        </w:tc>
        <w:tc>
          <w:tcPr>
            <w:tcW w:w="2524" w:type="dxa"/>
            <w:vAlign w:val="center"/>
          </w:tcPr>
          <w:p w14:paraId="42D29FC1" w14:textId="77777777" w:rsidR="002A541E" w:rsidRPr="007638C5" w:rsidRDefault="002A541E" w:rsidP="00956EB5">
            <w:pPr>
              <w:jc w:val="center"/>
              <w:rPr>
                <w:sz w:val="22"/>
                <w:szCs w:val="22"/>
                <w:lang w:val="en-GB"/>
              </w:rPr>
            </w:pPr>
            <w:r w:rsidRPr="007638C5">
              <w:rPr>
                <w:sz w:val="22"/>
                <w:szCs w:val="22"/>
                <w:lang w:val="en-GB"/>
              </w:rPr>
              <w:t>38</w:t>
            </w:r>
          </w:p>
        </w:tc>
      </w:tr>
      <w:tr w:rsidR="002A541E" w14:paraId="440D5075" w14:textId="77777777" w:rsidTr="00956EB5">
        <w:tc>
          <w:tcPr>
            <w:tcW w:w="4106" w:type="dxa"/>
          </w:tcPr>
          <w:p w14:paraId="43EDAF5B" w14:textId="77777777" w:rsidR="002A541E" w:rsidRPr="007638C5" w:rsidRDefault="002A541E" w:rsidP="00956EB5">
            <w:pPr>
              <w:jc w:val="both"/>
              <w:rPr>
                <w:sz w:val="22"/>
                <w:szCs w:val="22"/>
                <w:lang w:val="en-GB"/>
              </w:rPr>
            </w:pPr>
            <w:r w:rsidRPr="007638C5">
              <w:rPr>
                <w:sz w:val="22"/>
                <w:szCs w:val="22"/>
                <w:lang w:val="en-GB"/>
              </w:rPr>
              <w:t>DHW demand in each dwelling (kW)</w:t>
            </w:r>
          </w:p>
        </w:tc>
        <w:tc>
          <w:tcPr>
            <w:tcW w:w="5217" w:type="dxa"/>
            <w:gridSpan w:val="2"/>
            <w:vAlign w:val="center"/>
          </w:tcPr>
          <w:p w14:paraId="106D16B8" w14:textId="77777777" w:rsidR="002A541E" w:rsidRPr="007638C5" w:rsidRDefault="002A541E" w:rsidP="00956EB5">
            <w:pPr>
              <w:jc w:val="center"/>
              <w:rPr>
                <w:sz w:val="22"/>
                <w:szCs w:val="22"/>
                <w:lang w:val="en-GB"/>
              </w:rPr>
            </w:pPr>
            <w:r w:rsidRPr="007638C5">
              <w:rPr>
                <w:sz w:val="22"/>
                <w:szCs w:val="22"/>
                <w:lang w:val="en-GB"/>
              </w:rPr>
              <w:t>4</w:t>
            </w:r>
            <w:r>
              <w:rPr>
                <w:sz w:val="22"/>
                <w:szCs w:val="22"/>
                <w:lang w:val="en-GB"/>
              </w:rPr>
              <w:t>1.4</w:t>
            </w:r>
          </w:p>
        </w:tc>
      </w:tr>
      <w:tr w:rsidR="002A541E" w14:paraId="45B0620D" w14:textId="77777777" w:rsidTr="00956EB5">
        <w:tc>
          <w:tcPr>
            <w:tcW w:w="4106" w:type="dxa"/>
          </w:tcPr>
          <w:p w14:paraId="4DD47A82" w14:textId="77777777" w:rsidR="002A541E" w:rsidRPr="007638C5" w:rsidRDefault="002A541E" w:rsidP="00956EB5">
            <w:pPr>
              <w:jc w:val="both"/>
              <w:rPr>
                <w:sz w:val="22"/>
                <w:szCs w:val="22"/>
                <w:lang w:val="en-GB"/>
              </w:rPr>
            </w:pPr>
            <w:r w:rsidRPr="007638C5">
              <w:rPr>
                <w:sz w:val="22"/>
                <w:szCs w:val="22"/>
                <w:lang w:val="en-GB"/>
              </w:rPr>
              <w:t>Bath outlet flowrate (l/min)</w:t>
            </w:r>
          </w:p>
        </w:tc>
        <w:tc>
          <w:tcPr>
            <w:tcW w:w="5217" w:type="dxa"/>
            <w:gridSpan w:val="2"/>
            <w:vAlign w:val="center"/>
          </w:tcPr>
          <w:p w14:paraId="6B6CBD8B" w14:textId="77777777" w:rsidR="002A541E" w:rsidRPr="007638C5" w:rsidRDefault="002A541E" w:rsidP="00956EB5">
            <w:pPr>
              <w:jc w:val="center"/>
              <w:rPr>
                <w:sz w:val="22"/>
                <w:szCs w:val="22"/>
                <w:lang w:val="en-GB"/>
              </w:rPr>
            </w:pPr>
            <w:r w:rsidRPr="007638C5">
              <w:rPr>
                <w:sz w:val="22"/>
                <w:szCs w:val="22"/>
                <w:lang w:val="en-GB"/>
              </w:rPr>
              <w:t>9</w:t>
            </w:r>
            <w:r>
              <w:rPr>
                <w:sz w:val="22"/>
                <w:szCs w:val="22"/>
                <w:lang w:val="en-GB"/>
              </w:rPr>
              <w:t>.0</w:t>
            </w:r>
          </w:p>
        </w:tc>
      </w:tr>
      <w:tr w:rsidR="002A541E" w14:paraId="2EE9C10F" w14:textId="77777777" w:rsidTr="00956EB5">
        <w:tc>
          <w:tcPr>
            <w:tcW w:w="4106" w:type="dxa"/>
          </w:tcPr>
          <w:p w14:paraId="1AAE5D93" w14:textId="77777777" w:rsidR="002A541E" w:rsidRPr="007638C5" w:rsidRDefault="002A541E" w:rsidP="00956EB5">
            <w:pPr>
              <w:jc w:val="both"/>
              <w:rPr>
                <w:sz w:val="22"/>
                <w:szCs w:val="22"/>
                <w:lang w:val="en-GB"/>
              </w:rPr>
            </w:pPr>
            <w:r w:rsidRPr="007638C5">
              <w:rPr>
                <w:sz w:val="22"/>
                <w:szCs w:val="22"/>
                <w:lang w:val="en-GB"/>
              </w:rPr>
              <w:t>Shower outlet flowrate (l/min)</w:t>
            </w:r>
          </w:p>
        </w:tc>
        <w:tc>
          <w:tcPr>
            <w:tcW w:w="5217" w:type="dxa"/>
            <w:gridSpan w:val="2"/>
            <w:vAlign w:val="center"/>
          </w:tcPr>
          <w:p w14:paraId="2E488381" w14:textId="77777777" w:rsidR="002A541E" w:rsidRPr="007638C5" w:rsidRDefault="002A541E" w:rsidP="00956EB5">
            <w:pPr>
              <w:jc w:val="center"/>
              <w:rPr>
                <w:sz w:val="22"/>
                <w:szCs w:val="22"/>
                <w:lang w:val="en-GB"/>
              </w:rPr>
            </w:pPr>
            <w:r>
              <w:rPr>
                <w:sz w:val="22"/>
                <w:szCs w:val="22"/>
                <w:lang w:val="en-GB"/>
              </w:rPr>
              <w:t>8.0</w:t>
            </w:r>
          </w:p>
        </w:tc>
      </w:tr>
      <w:tr w:rsidR="002A541E" w14:paraId="7A134B8B" w14:textId="77777777" w:rsidTr="00956EB5">
        <w:tc>
          <w:tcPr>
            <w:tcW w:w="4106" w:type="dxa"/>
          </w:tcPr>
          <w:p w14:paraId="58A02414" w14:textId="77777777" w:rsidR="002A541E" w:rsidRPr="007638C5" w:rsidRDefault="002A541E" w:rsidP="00956EB5">
            <w:pPr>
              <w:jc w:val="both"/>
              <w:rPr>
                <w:sz w:val="22"/>
                <w:szCs w:val="22"/>
                <w:lang w:val="en-GB"/>
              </w:rPr>
            </w:pPr>
            <w:r w:rsidRPr="007638C5">
              <w:rPr>
                <w:sz w:val="22"/>
                <w:szCs w:val="22"/>
                <w:lang w:val="en-GB"/>
              </w:rPr>
              <w:t>Kitchen outlet flowrate (l/min)</w:t>
            </w:r>
          </w:p>
        </w:tc>
        <w:tc>
          <w:tcPr>
            <w:tcW w:w="5217" w:type="dxa"/>
            <w:gridSpan w:val="2"/>
            <w:vAlign w:val="center"/>
          </w:tcPr>
          <w:p w14:paraId="129505FC" w14:textId="77777777" w:rsidR="002A541E" w:rsidRPr="007638C5" w:rsidRDefault="002A541E" w:rsidP="00956EB5">
            <w:pPr>
              <w:jc w:val="center"/>
              <w:rPr>
                <w:sz w:val="22"/>
                <w:szCs w:val="22"/>
                <w:lang w:val="en-GB"/>
              </w:rPr>
            </w:pPr>
            <w:r w:rsidRPr="007638C5">
              <w:rPr>
                <w:sz w:val="22"/>
                <w:szCs w:val="22"/>
                <w:lang w:val="en-GB"/>
              </w:rPr>
              <w:t>6</w:t>
            </w:r>
            <w:r>
              <w:rPr>
                <w:sz w:val="22"/>
                <w:szCs w:val="22"/>
                <w:lang w:val="en-GB"/>
              </w:rPr>
              <w:t>.0</w:t>
            </w:r>
          </w:p>
        </w:tc>
      </w:tr>
      <w:tr w:rsidR="002A541E" w14:paraId="08C9ED1F" w14:textId="77777777" w:rsidTr="00956EB5">
        <w:tc>
          <w:tcPr>
            <w:tcW w:w="4106" w:type="dxa"/>
          </w:tcPr>
          <w:p w14:paraId="5145F9C6" w14:textId="77777777" w:rsidR="002A541E" w:rsidRPr="007638C5" w:rsidRDefault="002A541E" w:rsidP="00956EB5">
            <w:pPr>
              <w:jc w:val="both"/>
              <w:rPr>
                <w:sz w:val="22"/>
                <w:szCs w:val="22"/>
                <w:lang w:val="en-GB"/>
              </w:rPr>
            </w:pPr>
            <w:r w:rsidRPr="007638C5">
              <w:rPr>
                <w:sz w:val="22"/>
                <w:szCs w:val="22"/>
                <w:lang w:val="en-GB"/>
              </w:rPr>
              <w:t>Bath outlet temperature (˚C)</w:t>
            </w:r>
          </w:p>
        </w:tc>
        <w:tc>
          <w:tcPr>
            <w:tcW w:w="5217" w:type="dxa"/>
            <w:gridSpan w:val="2"/>
            <w:vAlign w:val="center"/>
          </w:tcPr>
          <w:p w14:paraId="048BF886" w14:textId="77777777" w:rsidR="002A541E" w:rsidRPr="007638C5" w:rsidRDefault="002A541E" w:rsidP="00956EB5">
            <w:pPr>
              <w:jc w:val="center"/>
              <w:rPr>
                <w:sz w:val="22"/>
                <w:szCs w:val="22"/>
                <w:lang w:val="en-GB"/>
              </w:rPr>
            </w:pPr>
            <w:r w:rsidRPr="007638C5">
              <w:rPr>
                <w:sz w:val="22"/>
                <w:szCs w:val="22"/>
                <w:lang w:val="en-GB"/>
              </w:rPr>
              <w:t>48</w:t>
            </w:r>
            <w:r>
              <w:rPr>
                <w:sz w:val="22"/>
                <w:szCs w:val="22"/>
                <w:lang w:val="en-GB"/>
              </w:rPr>
              <w:t>.0</w:t>
            </w:r>
          </w:p>
        </w:tc>
      </w:tr>
      <w:tr w:rsidR="002A541E" w14:paraId="14C80F77" w14:textId="77777777" w:rsidTr="00956EB5">
        <w:tc>
          <w:tcPr>
            <w:tcW w:w="4106" w:type="dxa"/>
          </w:tcPr>
          <w:p w14:paraId="459A79D4" w14:textId="77777777" w:rsidR="002A541E" w:rsidRPr="007638C5" w:rsidRDefault="002A541E" w:rsidP="00956EB5">
            <w:pPr>
              <w:jc w:val="both"/>
              <w:rPr>
                <w:sz w:val="22"/>
                <w:szCs w:val="22"/>
                <w:lang w:val="en-GB"/>
              </w:rPr>
            </w:pPr>
            <w:r w:rsidRPr="007638C5">
              <w:rPr>
                <w:sz w:val="22"/>
                <w:szCs w:val="22"/>
                <w:lang w:val="en-GB"/>
              </w:rPr>
              <w:t>Shower outlet flow temperature (˚C)</w:t>
            </w:r>
          </w:p>
        </w:tc>
        <w:tc>
          <w:tcPr>
            <w:tcW w:w="5217" w:type="dxa"/>
            <w:gridSpan w:val="2"/>
            <w:vAlign w:val="center"/>
          </w:tcPr>
          <w:p w14:paraId="5240A35D" w14:textId="77777777" w:rsidR="002A541E" w:rsidRPr="007638C5" w:rsidRDefault="002A541E" w:rsidP="00956EB5">
            <w:pPr>
              <w:jc w:val="center"/>
              <w:rPr>
                <w:sz w:val="22"/>
                <w:szCs w:val="22"/>
                <w:lang w:val="en-GB"/>
              </w:rPr>
            </w:pPr>
            <w:r w:rsidRPr="007638C5">
              <w:rPr>
                <w:sz w:val="22"/>
                <w:szCs w:val="22"/>
                <w:lang w:val="en-GB"/>
              </w:rPr>
              <w:t>40</w:t>
            </w:r>
            <w:r>
              <w:rPr>
                <w:sz w:val="22"/>
                <w:szCs w:val="22"/>
                <w:lang w:val="en-GB"/>
              </w:rPr>
              <w:t>.0</w:t>
            </w:r>
          </w:p>
        </w:tc>
      </w:tr>
      <w:tr w:rsidR="002A541E" w14:paraId="1443C463" w14:textId="77777777" w:rsidTr="00956EB5">
        <w:tc>
          <w:tcPr>
            <w:tcW w:w="4106" w:type="dxa"/>
          </w:tcPr>
          <w:p w14:paraId="5A05F230" w14:textId="77777777" w:rsidR="002A541E" w:rsidRPr="007638C5" w:rsidRDefault="002A541E" w:rsidP="00956EB5">
            <w:pPr>
              <w:jc w:val="both"/>
              <w:rPr>
                <w:sz w:val="22"/>
                <w:szCs w:val="22"/>
                <w:lang w:val="en-GB"/>
              </w:rPr>
            </w:pPr>
            <w:r w:rsidRPr="007638C5">
              <w:rPr>
                <w:sz w:val="22"/>
                <w:szCs w:val="22"/>
                <w:lang w:val="en-GB"/>
              </w:rPr>
              <w:t>Space heating profile (˚C/˚C)</w:t>
            </w:r>
          </w:p>
        </w:tc>
        <w:tc>
          <w:tcPr>
            <w:tcW w:w="2693" w:type="dxa"/>
            <w:vAlign w:val="center"/>
          </w:tcPr>
          <w:p w14:paraId="312910DA" w14:textId="77777777" w:rsidR="002A541E" w:rsidRPr="007638C5" w:rsidRDefault="002A541E" w:rsidP="00956EB5">
            <w:pPr>
              <w:jc w:val="center"/>
              <w:rPr>
                <w:sz w:val="22"/>
                <w:szCs w:val="22"/>
                <w:lang w:val="en-GB"/>
              </w:rPr>
            </w:pPr>
            <w:r w:rsidRPr="007638C5">
              <w:rPr>
                <w:sz w:val="22"/>
                <w:szCs w:val="22"/>
                <w:lang w:val="en-GB"/>
              </w:rPr>
              <w:t>60/40</w:t>
            </w:r>
          </w:p>
        </w:tc>
        <w:tc>
          <w:tcPr>
            <w:tcW w:w="2524" w:type="dxa"/>
            <w:vAlign w:val="center"/>
          </w:tcPr>
          <w:p w14:paraId="0F7846E0" w14:textId="77777777" w:rsidR="002A541E" w:rsidRPr="007638C5" w:rsidRDefault="002A541E" w:rsidP="00956EB5">
            <w:pPr>
              <w:jc w:val="center"/>
              <w:rPr>
                <w:sz w:val="22"/>
                <w:szCs w:val="22"/>
                <w:lang w:val="en-GB"/>
              </w:rPr>
            </w:pPr>
            <w:r w:rsidRPr="007638C5">
              <w:rPr>
                <w:sz w:val="22"/>
                <w:szCs w:val="22"/>
                <w:lang w:val="en-GB"/>
              </w:rPr>
              <w:t>45/35</w:t>
            </w:r>
          </w:p>
        </w:tc>
      </w:tr>
      <w:tr w:rsidR="002A541E" w14:paraId="44A9594E" w14:textId="77777777" w:rsidTr="00956EB5">
        <w:tc>
          <w:tcPr>
            <w:tcW w:w="4106" w:type="dxa"/>
          </w:tcPr>
          <w:p w14:paraId="06D1C89C" w14:textId="77777777" w:rsidR="002A541E" w:rsidRPr="007638C5" w:rsidRDefault="002A541E" w:rsidP="00956EB5">
            <w:pPr>
              <w:jc w:val="both"/>
              <w:rPr>
                <w:sz w:val="22"/>
                <w:szCs w:val="22"/>
                <w:lang w:val="en-GB"/>
              </w:rPr>
            </w:pPr>
            <w:r w:rsidRPr="007638C5">
              <w:rPr>
                <w:sz w:val="22"/>
                <w:szCs w:val="22"/>
                <w:lang w:val="en-GB"/>
              </w:rPr>
              <w:t>Space heating demand (kW)</w:t>
            </w:r>
          </w:p>
        </w:tc>
        <w:tc>
          <w:tcPr>
            <w:tcW w:w="5217" w:type="dxa"/>
            <w:gridSpan w:val="2"/>
            <w:vAlign w:val="center"/>
          </w:tcPr>
          <w:p w14:paraId="3909B674" w14:textId="77777777" w:rsidR="002A541E" w:rsidRPr="007638C5" w:rsidRDefault="002A541E" w:rsidP="00956EB5">
            <w:pPr>
              <w:jc w:val="center"/>
              <w:rPr>
                <w:sz w:val="22"/>
                <w:szCs w:val="22"/>
                <w:lang w:val="en-GB"/>
              </w:rPr>
            </w:pPr>
            <w:r w:rsidRPr="007638C5">
              <w:rPr>
                <w:sz w:val="22"/>
                <w:szCs w:val="22"/>
                <w:lang w:val="en-GB"/>
              </w:rPr>
              <w:t>3</w:t>
            </w:r>
          </w:p>
        </w:tc>
      </w:tr>
      <w:tr w:rsidR="002A541E" w14:paraId="4BFA43AD" w14:textId="77777777" w:rsidTr="00956EB5">
        <w:tc>
          <w:tcPr>
            <w:tcW w:w="4106" w:type="dxa"/>
          </w:tcPr>
          <w:p w14:paraId="2FD3E505" w14:textId="77777777" w:rsidR="002A541E" w:rsidRPr="007638C5" w:rsidRDefault="002A541E" w:rsidP="00956EB5">
            <w:pPr>
              <w:jc w:val="both"/>
              <w:rPr>
                <w:sz w:val="22"/>
                <w:szCs w:val="22"/>
                <w:lang w:val="en-GB"/>
              </w:rPr>
            </w:pPr>
            <w:r w:rsidRPr="007638C5">
              <w:rPr>
                <w:sz w:val="22"/>
                <w:szCs w:val="22"/>
                <w:lang w:val="en-GB"/>
              </w:rPr>
              <w:t xml:space="preserve">DHW diversity </w:t>
            </w:r>
          </w:p>
        </w:tc>
        <w:tc>
          <w:tcPr>
            <w:tcW w:w="5217" w:type="dxa"/>
            <w:gridSpan w:val="2"/>
            <w:vAlign w:val="center"/>
          </w:tcPr>
          <w:p w14:paraId="6F05C8EE" w14:textId="77777777" w:rsidR="002A541E" w:rsidRPr="007638C5" w:rsidRDefault="002A541E" w:rsidP="00956EB5">
            <w:pPr>
              <w:jc w:val="center"/>
              <w:rPr>
                <w:sz w:val="22"/>
                <w:szCs w:val="22"/>
                <w:lang w:val="en-GB"/>
              </w:rPr>
            </w:pPr>
            <w:r w:rsidRPr="007638C5">
              <w:rPr>
                <w:sz w:val="22"/>
                <w:szCs w:val="22"/>
                <w:lang w:val="en-GB"/>
              </w:rPr>
              <w:t>DS 439</w:t>
            </w:r>
          </w:p>
        </w:tc>
      </w:tr>
      <w:tr w:rsidR="002A541E" w14:paraId="576B6A42" w14:textId="77777777" w:rsidTr="00956EB5">
        <w:tc>
          <w:tcPr>
            <w:tcW w:w="4106" w:type="dxa"/>
          </w:tcPr>
          <w:p w14:paraId="5B032F5E" w14:textId="77777777" w:rsidR="002A541E" w:rsidRPr="007638C5" w:rsidRDefault="002A541E" w:rsidP="00956EB5">
            <w:pPr>
              <w:jc w:val="both"/>
              <w:rPr>
                <w:sz w:val="22"/>
                <w:szCs w:val="22"/>
                <w:lang w:val="en-GB"/>
              </w:rPr>
            </w:pPr>
            <w:r w:rsidRPr="007638C5">
              <w:rPr>
                <w:sz w:val="22"/>
                <w:szCs w:val="22"/>
                <w:lang w:val="en-GB"/>
              </w:rPr>
              <w:t>Space heating diversity (kW)</w:t>
            </w:r>
          </w:p>
        </w:tc>
        <w:tc>
          <w:tcPr>
            <w:tcW w:w="5217" w:type="dxa"/>
            <w:gridSpan w:val="2"/>
            <w:vAlign w:val="center"/>
          </w:tcPr>
          <w:p w14:paraId="243D1C17" w14:textId="77777777" w:rsidR="002A541E" w:rsidRPr="007638C5" w:rsidRDefault="002A541E" w:rsidP="00956EB5">
            <w:pPr>
              <w:jc w:val="center"/>
              <w:rPr>
                <w:sz w:val="22"/>
                <w:szCs w:val="22"/>
                <w:lang w:val="en-GB"/>
              </w:rPr>
            </w:pPr>
            <w:r w:rsidRPr="007638C5">
              <w:rPr>
                <w:sz w:val="22"/>
                <w:szCs w:val="22"/>
                <w:lang w:val="en-GB"/>
              </w:rPr>
              <w:t>Danish diversity (up to 62%)</w:t>
            </w:r>
          </w:p>
        </w:tc>
      </w:tr>
      <w:tr w:rsidR="002A541E" w14:paraId="04F15EDE" w14:textId="77777777" w:rsidTr="00956EB5">
        <w:tc>
          <w:tcPr>
            <w:tcW w:w="4106" w:type="dxa"/>
          </w:tcPr>
          <w:p w14:paraId="4ED83FE4" w14:textId="77777777" w:rsidR="002A541E" w:rsidRPr="007638C5" w:rsidRDefault="002A541E" w:rsidP="00956EB5">
            <w:pPr>
              <w:jc w:val="both"/>
              <w:rPr>
                <w:sz w:val="22"/>
                <w:szCs w:val="22"/>
                <w:lang w:val="en-GB"/>
              </w:rPr>
            </w:pPr>
            <w:r w:rsidRPr="007638C5">
              <w:rPr>
                <w:sz w:val="22"/>
                <w:szCs w:val="22"/>
                <w:lang w:val="en-GB"/>
              </w:rPr>
              <w:t>Ambient: terminals, laterals, risers (˚C)</w:t>
            </w:r>
          </w:p>
        </w:tc>
        <w:tc>
          <w:tcPr>
            <w:tcW w:w="5217" w:type="dxa"/>
            <w:gridSpan w:val="2"/>
            <w:vAlign w:val="center"/>
          </w:tcPr>
          <w:p w14:paraId="5917E678" w14:textId="77777777" w:rsidR="002A541E" w:rsidRPr="007638C5" w:rsidRDefault="002A541E" w:rsidP="00956EB5">
            <w:pPr>
              <w:jc w:val="center"/>
              <w:rPr>
                <w:sz w:val="22"/>
                <w:szCs w:val="22"/>
                <w:lang w:val="en-GB"/>
              </w:rPr>
            </w:pPr>
            <w:r w:rsidRPr="007638C5">
              <w:rPr>
                <w:sz w:val="22"/>
                <w:szCs w:val="22"/>
                <w:lang w:val="en-GB"/>
              </w:rPr>
              <w:t>25</w:t>
            </w:r>
          </w:p>
        </w:tc>
      </w:tr>
      <w:tr w:rsidR="002A541E" w14:paraId="63E0C866" w14:textId="77777777" w:rsidTr="00956EB5">
        <w:tc>
          <w:tcPr>
            <w:tcW w:w="4106" w:type="dxa"/>
          </w:tcPr>
          <w:p w14:paraId="3AD112E3" w14:textId="77777777" w:rsidR="002A541E" w:rsidRPr="007638C5" w:rsidRDefault="002A541E" w:rsidP="00956EB5">
            <w:pPr>
              <w:jc w:val="both"/>
              <w:rPr>
                <w:sz w:val="22"/>
                <w:szCs w:val="22"/>
                <w:lang w:val="en-GB"/>
              </w:rPr>
            </w:pPr>
            <w:r w:rsidRPr="007638C5">
              <w:rPr>
                <w:sz w:val="22"/>
                <w:szCs w:val="22"/>
                <w:lang w:val="en-GB"/>
              </w:rPr>
              <w:t>Ambient: Supply (˚C)</w:t>
            </w:r>
          </w:p>
        </w:tc>
        <w:tc>
          <w:tcPr>
            <w:tcW w:w="5217" w:type="dxa"/>
            <w:gridSpan w:val="2"/>
            <w:vAlign w:val="center"/>
          </w:tcPr>
          <w:p w14:paraId="01CE56B3" w14:textId="77777777" w:rsidR="002A541E" w:rsidRPr="007638C5" w:rsidRDefault="002A541E" w:rsidP="00956EB5">
            <w:pPr>
              <w:keepNext/>
              <w:jc w:val="center"/>
              <w:rPr>
                <w:sz w:val="22"/>
                <w:szCs w:val="22"/>
                <w:lang w:val="en-GB"/>
              </w:rPr>
            </w:pPr>
            <w:r w:rsidRPr="007638C5">
              <w:rPr>
                <w:sz w:val="22"/>
                <w:szCs w:val="22"/>
                <w:lang w:val="en-GB"/>
              </w:rPr>
              <w:t>12</w:t>
            </w:r>
          </w:p>
        </w:tc>
      </w:tr>
    </w:tbl>
    <w:p w14:paraId="4174D3D0" w14:textId="4BBC7E2A" w:rsidR="002A541E" w:rsidRDefault="002A541E" w:rsidP="002A541E">
      <w:pPr>
        <w:pStyle w:val="Caption"/>
        <w:rPr>
          <w:lang w:val="en-GB"/>
        </w:rPr>
      </w:pPr>
      <w:r>
        <w:t xml:space="preserve">Table </w:t>
      </w:r>
      <w:r w:rsidR="003E50E8">
        <w:fldChar w:fldCharType="begin"/>
      </w:r>
      <w:r w:rsidR="003E50E8">
        <w:instrText xml:space="preserve"> SEQ Table \* ARABIC </w:instrText>
      </w:r>
      <w:r w:rsidR="003E50E8">
        <w:fldChar w:fldCharType="separate"/>
      </w:r>
      <w:r w:rsidR="00252302">
        <w:rPr>
          <w:noProof/>
        </w:rPr>
        <w:t>4</w:t>
      </w:r>
      <w:r w:rsidR="003E50E8">
        <w:rPr>
          <w:noProof/>
        </w:rPr>
        <w:fldChar w:fldCharType="end"/>
      </w:r>
      <w:r>
        <w:t>: Summary of system parameters for high temperature and low temperature approach</w:t>
      </w:r>
    </w:p>
    <w:p w14:paraId="39EEAC7A" w14:textId="21106912" w:rsidR="002A541E" w:rsidRDefault="002A541E" w:rsidP="002A541E">
      <w:pPr>
        <w:jc w:val="both"/>
        <w:rPr>
          <w:lang w:val="en-GB"/>
        </w:rPr>
      </w:pPr>
    </w:p>
    <w:p w14:paraId="758B1BE2" w14:textId="1777AB2D" w:rsidR="006171CC" w:rsidRDefault="006171CC" w:rsidP="006171CC">
      <w:pPr>
        <w:pStyle w:val="Heading1"/>
        <w:rPr>
          <w:rFonts w:asciiTheme="minorHAnsi" w:hAnsiTheme="minorHAnsi" w:cstheme="minorHAnsi"/>
          <w:b w:val="0"/>
          <w:szCs w:val="22"/>
        </w:rPr>
      </w:pPr>
      <w:r>
        <w:rPr>
          <w:rFonts w:asciiTheme="minorHAnsi" w:hAnsiTheme="minorHAnsi" w:cstheme="minorHAnsi"/>
          <w:szCs w:val="22"/>
        </w:rPr>
        <w:t>Appendix</w:t>
      </w:r>
    </w:p>
    <w:p w14:paraId="74B9921A" w14:textId="77777777" w:rsidR="006171CC" w:rsidRDefault="006171CC" w:rsidP="006171CC">
      <w:pPr>
        <w:pStyle w:val="ListParagraph"/>
        <w:numPr>
          <w:ilvl w:val="0"/>
          <w:numId w:val="6"/>
        </w:numPr>
      </w:pPr>
      <w:r w:rsidRPr="00FE79EA">
        <w:t xml:space="preserve">Ref Building Conventional HT Schematic Rev01.pdf </w:t>
      </w:r>
    </w:p>
    <w:p w14:paraId="0E26E9F5" w14:textId="77777777" w:rsidR="006171CC" w:rsidRDefault="006171CC" w:rsidP="006171CC">
      <w:pPr>
        <w:pStyle w:val="ListParagraph"/>
        <w:numPr>
          <w:ilvl w:val="0"/>
          <w:numId w:val="6"/>
        </w:numPr>
      </w:pPr>
      <w:r w:rsidRPr="00FE79EA">
        <w:t>Ref Building Conventional LT Schematic Rev01</w:t>
      </w:r>
      <w:r>
        <w:t>.pdf</w:t>
      </w:r>
    </w:p>
    <w:p w14:paraId="05EA0EE2" w14:textId="77777777" w:rsidR="006171CC" w:rsidRDefault="006171CC" w:rsidP="006171CC">
      <w:pPr>
        <w:pStyle w:val="ListParagraph"/>
        <w:numPr>
          <w:ilvl w:val="0"/>
          <w:numId w:val="6"/>
        </w:numPr>
      </w:pPr>
      <w:r w:rsidRPr="00C61536">
        <w:t xml:space="preserve">Ref Building </w:t>
      </w:r>
      <w:proofErr w:type="spellStart"/>
      <w:r w:rsidRPr="00C61536">
        <w:t>Multiriser</w:t>
      </w:r>
      <w:proofErr w:type="spellEnd"/>
      <w:r w:rsidRPr="00C61536">
        <w:t xml:space="preserve"> HT Schematic Rev01</w:t>
      </w:r>
      <w:r>
        <w:t>.pdf</w:t>
      </w:r>
    </w:p>
    <w:p w14:paraId="7F49B463" w14:textId="77777777" w:rsidR="006171CC" w:rsidRPr="00FE79EA" w:rsidRDefault="006171CC" w:rsidP="006171CC">
      <w:pPr>
        <w:pStyle w:val="ListParagraph"/>
        <w:numPr>
          <w:ilvl w:val="0"/>
          <w:numId w:val="6"/>
        </w:numPr>
      </w:pPr>
      <w:r w:rsidRPr="00C61536">
        <w:t xml:space="preserve">Ref Building </w:t>
      </w:r>
      <w:proofErr w:type="spellStart"/>
      <w:r w:rsidRPr="00C61536">
        <w:t>Multiriser</w:t>
      </w:r>
      <w:proofErr w:type="spellEnd"/>
      <w:r w:rsidRPr="00C61536">
        <w:t xml:space="preserve"> LT Schematic Rev01</w:t>
      </w:r>
      <w:r>
        <w:t>.pdf</w:t>
      </w:r>
    </w:p>
    <w:p w14:paraId="708F21A9" w14:textId="2501B2BD" w:rsidR="00471551" w:rsidRPr="0068185E" w:rsidRDefault="00471551" w:rsidP="00053556">
      <w:pPr>
        <w:pStyle w:val="Heading1"/>
        <w:numPr>
          <w:ilvl w:val="0"/>
          <w:numId w:val="0"/>
        </w:numPr>
        <w:ind w:left="357"/>
        <w:rPr>
          <w:rFonts w:cstheme="minorHAnsi"/>
          <w:b w:val="0"/>
        </w:rPr>
      </w:pPr>
    </w:p>
    <w:sectPr w:rsidR="00471551" w:rsidRPr="0068185E" w:rsidSect="002945CC">
      <w:headerReference w:type="default" r:id="rId14"/>
      <w:headerReference w:type="first" r:id="rId15"/>
      <w:pgSz w:w="12240" w:h="15840" w:code="1"/>
      <w:pgMar w:top="993" w:right="1467" w:bottom="709"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0C9B14" w14:textId="77777777" w:rsidR="003E50E8" w:rsidRDefault="003E50E8">
      <w:pPr>
        <w:spacing w:after="0" w:line="240" w:lineRule="auto"/>
      </w:pPr>
      <w:r>
        <w:separator/>
      </w:r>
    </w:p>
  </w:endnote>
  <w:endnote w:type="continuationSeparator" w:id="0">
    <w:p w14:paraId="03EC9C7D" w14:textId="77777777" w:rsidR="003E50E8" w:rsidRDefault="003E50E8">
      <w:pPr>
        <w:spacing w:after="0" w:line="240" w:lineRule="auto"/>
      </w:pPr>
      <w:r>
        <w:continuationSeparator/>
      </w:r>
    </w:p>
  </w:endnote>
  <w:endnote w:type="continuationNotice" w:id="1">
    <w:p w14:paraId="47816C68" w14:textId="77777777" w:rsidR="003E50E8" w:rsidRDefault="003E50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Rajdhani Semibold">
    <w:altName w:val="Mangal"/>
    <w:panose1 w:val="02000000000000000000"/>
    <w:charset w:val="00"/>
    <w:family w:val="auto"/>
    <w:pitch w:val="variable"/>
    <w:sig w:usb0="00008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Rajdhani">
    <w:altName w:val="Mangal"/>
    <w:panose1 w:val="02000000000000000000"/>
    <w:charset w:val="00"/>
    <w:family w:val="auto"/>
    <w:pitch w:val="variable"/>
    <w:sig w:usb0="00008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33254" w14:textId="77777777" w:rsidR="003E50E8" w:rsidRDefault="003E50E8">
      <w:pPr>
        <w:spacing w:after="0" w:line="240" w:lineRule="auto"/>
      </w:pPr>
      <w:r>
        <w:separator/>
      </w:r>
    </w:p>
  </w:footnote>
  <w:footnote w:type="continuationSeparator" w:id="0">
    <w:p w14:paraId="4D92902C" w14:textId="77777777" w:rsidR="003E50E8" w:rsidRDefault="003E50E8">
      <w:pPr>
        <w:spacing w:after="0" w:line="240" w:lineRule="auto"/>
      </w:pPr>
      <w:r>
        <w:continuationSeparator/>
      </w:r>
    </w:p>
  </w:footnote>
  <w:footnote w:type="continuationNotice" w:id="1">
    <w:p w14:paraId="5F6B7893" w14:textId="77777777" w:rsidR="003E50E8" w:rsidRDefault="003E50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540BE" w14:textId="77777777" w:rsidR="00A53A57" w:rsidRDefault="00A53A57" w:rsidP="00CE723C">
    <w:pPr>
      <w:pStyle w:val="Header"/>
      <w:ind w:left="-85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B4369" w14:textId="77777777" w:rsidR="00A53A57" w:rsidRDefault="00A53A57" w:rsidP="00CE723C">
    <w:pPr>
      <w:pStyle w:val="Header"/>
      <w:ind w:left="-28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87F39"/>
    <w:multiLevelType w:val="hybridMultilevel"/>
    <w:tmpl w:val="2612F0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D1546E2"/>
    <w:multiLevelType w:val="hybridMultilevel"/>
    <w:tmpl w:val="02D05C0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51433165"/>
    <w:multiLevelType w:val="hybridMultilevel"/>
    <w:tmpl w:val="698CB5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688780B"/>
    <w:multiLevelType w:val="multilevel"/>
    <w:tmpl w:val="E724E856"/>
    <w:lvl w:ilvl="0">
      <w:start w:val="1"/>
      <w:numFmt w:val="decimal"/>
      <w:pStyle w:val="Heading1"/>
      <w:lvlText w:val="%1."/>
      <w:lvlJc w:val="left"/>
      <w:pPr>
        <w:ind w:left="360" w:hanging="360"/>
      </w:pPr>
      <w:rPr>
        <w:rFonts w:hint="default"/>
        <w:b/>
        <w:bCs/>
      </w:rPr>
    </w:lvl>
    <w:lvl w:ilvl="1">
      <w:start w:val="1"/>
      <w:numFmt w:val="decimal"/>
      <w:pStyle w:val="Heading2"/>
      <w:suff w:val="space"/>
      <w:lvlText w:val="%1.%2."/>
      <w:lvlJc w:val="left"/>
      <w:pPr>
        <w:ind w:left="792" w:hanging="432"/>
      </w:pPr>
      <w:rPr>
        <w:rFonts w:hint="default"/>
      </w:rPr>
    </w:lvl>
    <w:lvl w:ilvl="2">
      <w:start w:val="1"/>
      <w:numFmt w:val="decimal"/>
      <w:pStyle w:val="Heading3"/>
      <w:suff w:val="space"/>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5DA12C46"/>
    <w:multiLevelType w:val="hybridMultilevel"/>
    <w:tmpl w:val="83DE83EA"/>
    <w:lvl w:ilvl="0" w:tplc="3C42151E">
      <w:start w:val="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E4E4637"/>
    <w:multiLevelType w:val="hybridMultilevel"/>
    <w:tmpl w:val="E1DC490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82302157">
    <w:abstractNumId w:val="3"/>
  </w:num>
  <w:num w:numId="2" w16cid:durableId="195316585">
    <w:abstractNumId w:val="5"/>
  </w:num>
  <w:num w:numId="3" w16cid:durableId="381173162">
    <w:abstractNumId w:val="4"/>
  </w:num>
  <w:num w:numId="4" w16cid:durableId="544297604">
    <w:abstractNumId w:val="1"/>
  </w:num>
  <w:num w:numId="5" w16cid:durableId="99616216">
    <w:abstractNumId w:val="2"/>
  </w:num>
  <w:num w:numId="6" w16cid:durableId="1586962715">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drawingGridHorizontalSpacing w:val="11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78EE"/>
    <w:rsid w:val="000030C3"/>
    <w:rsid w:val="00005C0A"/>
    <w:rsid w:val="00006E3F"/>
    <w:rsid w:val="000109C2"/>
    <w:rsid w:val="00017C28"/>
    <w:rsid w:val="00022E75"/>
    <w:rsid w:val="0002473A"/>
    <w:rsid w:val="00024C44"/>
    <w:rsid w:val="00032FAE"/>
    <w:rsid w:val="000331F4"/>
    <w:rsid w:val="000337EE"/>
    <w:rsid w:val="000373C3"/>
    <w:rsid w:val="00037430"/>
    <w:rsid w:val="00051BB2"/>
    <w:rsid w:val="00053556"/>
    <w:rsid w:val="000538AD"/>
    <w:rsid w:val="0005587F"/>
    <w:rsid w:val="000559AF"/>
    <w:rsid w:val="00063809"/>
    <w:rsid w:val="0006629B"/>
    <w:rsid w:val="000672FA"/>
    <w:rsid w:val="00071A74"/>
    <w:rsid w:val="000752D6"/>
    <w:rsid w:val="00081541"/>
    <w:rsid w:val="00092728"/>
    <w:rsid w:val="000A0974"/>
    <w:rsid w:val="000A0CFE"/>
    <w:rsid w:val="000A1211"/>
    <w:rsid w:val="000A1F7A"/>
    <w:rsid w:val="000A4606"/>
    <w:rsid w:val="000A514D"/>
    <w:rsid w:val="000A6A10"/>
    <w:rsid w:val="000A7BA8"/>
    <w:rsid w:val="000B1624"/>
    <w:rsid w:val="000B3F20"/>
    <w:rsid w:val="000C5D7C"/>
    <w:rsid w:val="000C6750"/>
    <w:rsid w:val="000D246E"/>
    <w:rsid w:val="000D7182"/>
    <w:rsid w:val="000E1065"/>
    <w:rsid w:val="000E2B11"/>
    <w:rsid w:val="000E2C05"/>
    <w:rsid w:val="000E3EAA"/>
    <w:rsid w:val="000E4169"/>
    <w:rsid w:val="000E7291"/>
    <w:rsid w:val="000F4AFA"/>
    <w:rsid w:val="001068EA"/>
    <w:rsid w:val="00110E35"/>
    <w:rsid w:val="001123DB"/>
    <w:rsid w:val="00117B1B"/>
    <w:rsid w:val="001244B0"/>
    <w:rsid w:val="00135757"/>
    <w:rsid w:val="00135B74"/>
    <w:rsid w:val="00136822"/>
    <w:rsid w:val="00141959"/>
    <w:rsid w:val="00145ABE"/>
    <w:rsid w:val="00146175"/>
    <w:rsid w:val="00151ED7"/>
    <w:rsid w:val="001525A8"/>
    <w:rsid w:val="00162D95"/>
    <w:rsid w:val="00164029"/>
    <w:rsid w:val="00171091"/>
    <w:rsid w:val="001772CB"/>
    <w:rsid w:val="001825C8"/>
    <w:rsid w:val="00192E26"/>
    <w:rsid w:val="001947CE"/>
    <w:rsid w:val="0019568D"/>
    <w:rsid w:val="001973F3"/>
    <w:rsid w:val="001977EA"/>
    <w:rsid w:val="001A7657"/>
    <w:rsid w:val="001A795E"/>
    <w:rsid w:val="001B4F61"/>
    <w:rsid w:val="001B5B14"/>
    <w:rsid w:val="001B61C4"/>
    <w:rsid w:val="001B75FA"/>
    <w:rsid w:val="001C0EDE"/>
    <w:rsid w:val="001C27BA"/>
    <w:rsid w:val="001C2801"/>
    <w:rsid w:val="001D673A"/>
    <w:rsid w:val="001E4FA5"/>
    <w:rsid w:val="001F4EA9"/>
    <w:rsid w:val="001F4FA4"/>
    <w:rsid w:val="001F5642"/>
    <w:rsid w:val="00201511"/>
    <w:rsid w:val="002027FD"/>
    <w:rsid w:val="0020304D"/>
    <w:rsid w:val="00210739"/>
    <w:rsid w:val="002120B2"/>
    <w:rsid w:val="0021749C"/>
    <w:rsid w:val="0022707A"/>
    <w:rsid w:val="002328EF"/>
    <w:rsid w:val="00234761"/>
    <w:rsid w:val="002355F5"/>
    <w:rsid w:val="00241E64"/>
    <w:rsid w:val="002429B5"/>
    <w:rsid w:val="0024528F"/>
    <w:rsid w:val="00247A8E"/>
    <w:rsid w:val="00251018"/>
    <w:rsid w:val="00252302"/>
    <w:rsid w:val="00252304"/>
    <w:rsid w:val="00254431"/>
    <w:rsid w:val="00254F66"/>
    <w:rsid w:val="00263F1E"/>
    <w:rsid w:val="002725A8"/>
    <w:rsid w:val="002751DB"/>
    <w:rsid w:val="002821F3"/>
    <w:rsid w:val="002833B4"/>
    <w:rsid w:val="00287A5F"/>
    <w:rsid w:val="002945CC"/>
    <w:rsid w:val="002A541E"/>
    <w:rsid w:val="002A586F"/>
    <w:rsid w:val="002A72DF"/>
    <w:rsid w:val="002B2232"/>
    <w:rsid w:val="002C0D2B"/>
    <w:rsid w:val="002C12E6"/>
    <w:rsid w:val="002C3997"/>
    <w:rsid w:val="002C470A"/>
    <w:rsid w:val="002C4FE7"/>
    <w:rsid w:val="002C5275"/>
    <w:rsid w:val="002D42E1"/>
    <w:rsid w:val="002D5C6F"/>
    <w:rsid w:val="002D62B8"/>
    <w:rsid w:val="002E2902"/>
    <w:rsid w:val="002E33CE"/>
    <w:rsid w:val="002E3E5D"/>
    <w:rsid w:val="002E55CB"/>
    <w:rsid w:val="002E69DE"/>
    <w:rsid w:val="00305C6B"/>
    <w:rsid w:val="003064E2"/>
    <w:rsid w:val="00306A47"/>
    <w:rsid w:val="00306A8A"/>
    <w:rsid w:val="00313619"/>
    <w:rsid w:val="0031494D"/>
    <w:rsid w:val="003256D9"/>
    <w:rsid w:val="00326965"/>
    <w:rsid w:val="00327D3F"/>
    <w:rsid w:val="00327E03"/>
    <w:rsid w:val="00334659"/>
    <w:rsid w:val="00335544"/>
    <w:rsid w:val="003372F9"/>
    <w:rsid w:val="00345C67"/>
    <w:rsid w:val="00351ADE"/>
    <w:rsid w:val="00353842"/>
    <w:rsid w:val="00357E7E"/>
    <w:rsid w:val="00361837"/>
    <w:rsid w:val="003647E6"/>
    <w:rsid w:val="0036625E"/>
    <w:rsid w:val="00370376"/>
    <w:rsid w:val="00372C88"/>
    <w:rsid w:val="00373DAB"/>
    <w:rsid w:val="00383B04"/>
    <w:rsid w:val="00392735"/>
    <w:rsid w:val="00394D8B"/>
    <w:rsid w:val="003956E1"/>
    <w:rsid w:val="003979DB"/>
    <w:rsid w:val="003A3962"/>
    <w:rsid w:val="003B28B5"/>
    <w:rsid w:val="003B2B94"/>
    <w:rsid w:val="003B606B"/>
    <w:rsid w:val="003B711D"/>
    <w:rsid w:val="003C13E3"/>
    <w:rsid w:val="003C1C3F"/>
    <w:rsid w:val="003C1FBC"/>
    <w:rsid w:val="003C2BC9"/>
    <w:rsid w:val="003C3C46"/>
    <w:rsid w:val="003C6FFA"/>
    <w:rsid w:val="003D3199"/>
    <w:rsid w:val="003D51D1"/>
    <w:rsid w:val="003E50E8"/>
    <w:rsid w:val="003E77A2"/>
    <w:rsid w:val="003E7834"/>
    <w:rsid w:val="003F027B"/>
    <w:rsid w:val="003F42E2"/>
    <w:rsid w:val="003F45CA"/>
    <w:rsid w:val="003F5162"/>
    <w:rsid w:val="003F6A7D"/>
    <w:rsid w:val="003F7809"/>
    <w:rsid w:val="003F78DC"/>
    <w:rsid w:val="003F7E52"/>
    <w:rsid w:val="00417615"/>
    <w:rsid w:val="00420C08"/>
    <w:rsid w:val="00422912"/>
    <w:rsid w:val="00423398"/>
    <w:rsid w:val="00424A99"/>
    <w:rsid w:val="004250AB"/>
    <w:rsid w:val="00427FAC"/>
    <w:rsid w:val="004322A5"/>
    <w:rsid w:val="00433BF5"/>
    <w:rsid w:val="004353C1"/>
    <w:rsid w:val="00442888"/>
    <w:rsid w:val="004454B3"/>
    <w:rsid w:val="004463BF"/>
    <w:rsid w:val="00446D45"/>
    <w:rsid w:val="00447479"/>
    <w:rsid w:val="0045731C"/>
    <w:rsid w:val="00462B0A"/>
    <w:rsid w:val="0046314B"/>
    <w:rsid w:val="00471551"/>
    <w:rsid w:val="00472094"/>
    <w:rsid w:val="004767A9"/>
    <w:rsid w:val="004804F7"/>
    <w:rsid w:val="004813E6"/>
    <w:rsid w:val="00482752"/>
    <w:rsid w:val="00483F46"/>
    <w:rsid w:val="00486806"/>
    <w:rsid w:val="0049084F"/>
    <w:rsid w:val="00493EF5"/>
    <w:rsid w:val="004A17D1"/>
    <w:rsid w:val="004A67C2"/>
    <w:rsid w:val="004B061E"/>
    <w:rsid w:val="004B3457"/>
    <w:rsid w:val="004B4242"/>
    <w:rsid w:val="004C4E6D"/>
    <w:rsid w:val="004C689A"/>
    <w:rsid w:val="004D4981"/>
    <w:rsid w:val="004D6569"/>
    <w:rsid w:val="004D7AB3"/>
    <w:rsid w:val="004E02FF"/>
    <w:rsid w:val="004E29E7"/>
    <w:rsid w:val="004E5A7C"/>
    <w:rsid w:val="004F0FC3"/>
    <w:rsid w:val="004F41FB"/>
    <w:rsid w:val="00501CCF"/>
    <w:rsid w:val="00502F9F"/>
    <w:rsid w:val="005033D3"/>
    <w:rsid w:val="00503911"/>
    <w:rsid w:val="00505EA4"/>
    <w:rsid w:val="00506DC8"/>
    <w:rsid w:val="00514CE8"/>
    <w:rsid w:val="00515AC9"/>
    <w:rsid w:val="005212C3"/>
    <w:rsid w:val="005269D3"/>
    <w:rsid w:val="0053090A"/>
    <w:rsid w:val="00535478"/>
    <w:rsid w:val="00542FE6"/>
    <w:rsid w:val="005454A9"/>
    <w:rsid w:val="00546775"/>
    <w:rsid w:val="005479E4"/>
    <w:rsid w:val="00552C56"/>
    <w:rsid w:val="00553183"/>
    <w:rsid w:val="00555E6C"/>
    <w:rsid w:val="005730E1"/>
    <w:rsid w:val="00574360"/>
    <w:rsid w:val="00574575"/>
    <w:rsid w:val="005A25BB"/>
    <w:rsid w:val="005A3001"/>
    <w:rsid w:val="005B5F60"/>
    <w:rsid w:val="005C732C"/>
    <w:rsid w:val="005D2B1E"/>
    <w:rsid w:val="005E3183"/>
    <w:rsid w:val="005E3B87"/>
    <w:rsid w:val="005F05CB"/>
    <w:rsid w:val="005F1133"/>
    <w:rsid w:val="005F1268"/>
    <w:rsid w:val="005F2159"/>
    <w:rsid w:val="005F5B01"/>
    <w:rsid w:val="005F6416"/>
    <w:rsid w:val="005F6C64"/>
    <w:rsid w:val="005F78D6"/>
    <w:rsid w:val="00601C85"/>
    <w:rsid w:val="00606B76"/>
    <w:rsid w:val="006072ED"/>
    <w:rsid w:val="00607E03"/>
    <w:rsid w:val="006110BD"/>
    <w:rsid w:val="00612207"/>
    <w:rsid w:val="00612598"/>
    <w:rsid w:val="0061403C"/>
    <w:rsid w:val="00614063"/>
    <w:rsid w:val="006171CC"/>
    <w:rsid w:val="00620F07"/>
    <w:rsid w:val="0062309D"/>
    <w:rsid w:val="00624334"/>
    <w:rsid w:val="00624E9C"/>
    <w:rsid w:val="00625A58"/>
    <w:rsid w:val="00644915"/>
    <w:rsid w:val="0064639A"/>
    <w:rsid w:val="0065050F"/>
    <w:rsid w:val="00650EDB"/>
    <w:rsid w:val="006526DE"/>
    <w:rsid w:val="0065288B"/>
    <w:rsid w:val="0065362A"/>
    <w:rsid w:val="006538BB"/>
    <w:rsid w:val="006546FF"/>
    <w:rsid w:val="0066179F"/>
    <w:rsid w:val="006657FD"/>
    <w:rsid w:val="00671DE2"/>
    <w:rsid w:val="00674FE1"/>
    <w:rsid w:val="006751B3"/>
    <w:rsid w:val="0067560F"/>
    <w:rsid w:val="00677FD9"/>
    <w:rsid w:val="0068185E"/>
    <w:rsid w:val="00687319"/>
    <w:rsid w:val="006909A2"/>
    <w:rsid w:val="00691530"/>
    <w:rsid w:val="006940EC"/>
    <w:rsid w:val="006A0618"/>
    <w:rsid w:val="006A0E19"/>
    <w:rsid w:val="006A2F96"/>
    <w:rsid w:val="006A762A"/>
    <w:rsid w:val="006A78EE"/>
    <w:rsid w:val="006B0EA5"/>
    <w:rsid w:val="006B3F01"/>
    <w:rsid w:val="006B41D7"/>
    <w:rsid w:val="006C12DA"/>
    <w:rsid w:val="006C363E"/>
    <w:rsid w:val="006D0A95"/>
    <w:rsid w:val="006D796E"/>
    <w:rsid w:val="006D7991"/>
    <w:rsid w:val="006E14C8"/>
    <w:rsid w:val="006E6C3A"/>
    <w:rsid w:val="006F091A"/>
    <w:rsid w:val="006F0DE8"/>
    <w:rsid w:val="006F270F"/>
    <w:rsid w:val="006F410B"/>
    <w:rsid w:val="00701A1C"/>
    <w:rsid w:val="007021F8"/>
    <w:rsid w:val="00702784"/>
    <w:rsid w:val="00702ABE"/>
    <w:rsid w:val="00705D1F"/>
    <w:rsid w:val="00715F96"/>
    <w:rsid w:val="00716019"/>
    <w:rsid w:val="00716A98"/>
    <w:rsid w:val="00720E0F"/>
    <w:rsid w:val="0072196B"/>
    <w:rsid w:val="0072607D"/>
    <w:rsid w:val="007272D5"/>
    <w:rsid w:val="00727399"/>
    <w:rsid w:val="00727F39"/>
    <w:rsid w:val="00730ED8"/>
    <w:rsid w:val="00731754"/>
    <w:rsid w:val="00733A52"/>
    <w:rsid w:val="007359CB"/>
    <w:rsid w:val="00735EC8"/>
    <w:rsid w:val="00743924"/>
    <w:rsid w:val="007452CE"/>
    <w:rsid w:val="007461C8"/>
    <w:rsid w:val="007476AF"/>
    <w:rsid w:val="007501EA"/>
    <w:rsid w:val="0075033D"/>
    <w:rsid w:val="00753289"/>
    <w:rsid w:val="00755CF6"/>
    <w:rsid w:val="0075646B"/>
    <w:rsid w:val="00761AC3"/>
    <w:rsid w:val="007638C5"/>
    <w:rsid w:val="00765CDA"/>
    <w:rsid w:val="00766CB1"/>
    <w:rsid w:val="00770DB3"/>
    <w:rsid w:val="00772E4B"/>
    <w:rsid w:val="00775741"/>
    <w:rsid w:val="007758F9"/>
    <w:rsid w:val="00777950"/>
    <w:rsid w:val="00785E82"/>
    <w:rsid w:val="007879FC"/>
    <w:rsid w:val="0079112C"/>
    <w:rsid w:val="00792F69"/>
    <w:rsid w:val="00793EB8"/>
    <w:rsid w:val="00795D3A"/>
    <w:rsid w:val="00796AD3"/>
    <w:rsid w:val="007A6432"/>
    <w:rsid w:val="007B37C4"/>
    <w:rsid w:val="007B6823"/>
    <w:rsid w:val="007C170F"/>
    <w:rsid w:val="007C1E87"/>
    <w:rsid w:val="007C69FE"/>
    <w:rsid w:val="007C72C7"/>
    <w:rsid w:val="007C75A0"/>
    <w:rsid w:val="007D0076"/>
    <w:rsid w:val="007D12E0"/>
    <w:rsid w:val="007D19D0"/>
    <w:rsid w:val="007D3EA9"/>
    <w:rsid w:val="007E0053"/>
    <w:rsid w:val="007E1C92"/>
    <w:rsid w:val="007E5C16"/>
    <w:rsid w:val="007E690F"/>
    <w:rsid w:val="007F425A"/>
    <w:rsid w:val="007F6BC1"/>
    <w:rsid w:val="007F77DA"/>
    <w:rsid w:val="007F7B9C"/>
    <w:rsid w:val="00803E10"/>
    <w:rsid w:val="00805099"/>
    <w:rsid w:val="008141A3"/>
    <w:rsid w:val="00814A63"/>
    <w:rsid w:val="00823831"/>
    <w:rsid w:val="00827A3C"/>
    <w:rsid w:val="00831D8F"/>
    <w:rsid w:val="00836B55"/>
    <w:rsid w:val="008408AE"/>
    <w:rsid w:val="00841A61"/>
    <w:rsid w:val="00847C1E"/>
    <w:rsid w:val="00847FB2"/>
    <w:rsid w:val="00855DC6"/>
    <w:rsid w:val="00856C0C"/>
    <w:rsid w:val="008661A3"/>
    <w:rsid w:val="008671EC"/>
    <w:rsid w:val="0087348A"/>
    <w:rsid w:val="00875708"/>
    <w:rsid w:val="00876E58"/>
    <w:rsid w:val="00877973"/>
    <w:rsid w:val="008852EE"/>
    <w:rsid w:val="00886D00"/>
    <w:rsid w:val="008873B0"/>
    <w:rsid w:val="00887E22"/>
    <w:rsid w:val="00890084"/>
    <w:rsid w:val="00890D4C"/>
    <w:rsid w:val="0089122F"/>
    <w:rsid w:val="00894912"/>
    <w:rsid w:val="008979A0"/>
    <w:rsid w:val="008A2CE5"/>
    <w:rsid w:val="008A3EE5"/>
    <w:rsid w:val="008A59BA"/>
    <w:rsid w:val="008B02E4"/>
    <w:rsid w:val="008B2DCF"/>
    <w:rsid w:val="008B48CB"/>
    <w:rsid w:val="008B72A9"/>
    <w:rsid w:val="008D27D8"/>
    <w:rsid w:val="008D51FD"/>
    <w:rsid w:val="008E177A"/>
    <w:rsid w:val="008E45D2"/>
    <w:rsid w:val="008F0B30"/>
    <w:rsid w:val="008F210D"/>
    <w:rsid w:val="008F267C"/>
    <w:rsid w:val="008F63FC"/>
    <w:rsid w:val="008F669D"/>
    <w:rsid w:val="008F6D0A"/>
    <w:rsid w:val="009001DE"/>
    <w:rsid w:val="00911B8E"/>
    <w:rsid w:val="0091212B"/>
    <w:rsid w:val="00912591"/>
    <w:rsid w:val="00912CA6"/>
    <w:rsid w:val="00913FD9"/>
    <w:rsid w:val="00914BE2"/>
    <w:rsid w:val="009152D1"/>
    <w:rsid w:val="00915BC4"/>
    <w:rsid w:val="00917A03"/>
    <w:rsid w:val="00921B57"/>
    <w:rsid w:val="0092582B"/>
    <w:rsid w:val="0092607B"/>
    <w:rsid w:val="0092684B"/>
    <w:rsid w:val="009319A5"/>
    <w:rsid w:val="00933A5C"/>
    <w:rsid w:val="009363B5"/>
    <w:rsid w:val="009412B5"/>
    <w:rsid w:val="00942535"/>
    <w:rsid w:val="00947611"/>
    <w:rsid w:val="009501B8"/>
    <w:rsid w:val="00953654"/>
    <w:rsid w:val="00956228"/>
    <w:rsid w:val="00956D56"/>
    <w:rsid w:val="00961660"/>
    <w:rsid w:val="00962BFB"/>
    <w:rsid w:val="0096320D"/>
    <w:rsid w:val="0096530E"/>
    <w:rsid w:val="00967E59"/>
    <w:rsid w:val="009704DA"/>
    <w:rsid w:val="00971A5B"/>
    <w:rsid w:val="00973C5B"/>
    <w:rsid w:val="00974560"/>
    <w:rsid w:val="0098277F"/>
    <w:rsid w:val="009829A1"/>
    <w:rsid w:val="00990F4A"/>
    <w:rsid w:val="00992392"/>
    <w:rsid w:val="009942F3"/>
    <w:rsid w:val="00994503"/>
    <w:rsid w:val="00997893"/>
    <w:rsid w:val="009A2B27"/>
    <w:rsid w:val="009A38EE"/>
    <w:rsid w:val="009B0E05"/>
    <w:rsid w:val="009B192E"/>
    <w:rsid w:val="009B2F52"/>
    <w:rsid w:val="009C122E"/>
    <w:rsid w:val="009C5367"/>
    <w:rsid w:val="009C5929"/>
    <w:rsid w:val="009C74B6"/>
    <w:rsid w:val="009D4ABA"/>
    <w:rsid w:val="009D55A0"/>
    <w:rsid w:val="009D55EF"/>
    <w:rsid w:val="009D6252"/>
    <w:rsid w:val="009D7A2D"/>
    <w:rsid w:val="009D7C52"/>
    <w:rsid w:val="009E070A"/>
    <w:rsid w:val="009E2B03"/>
    <w:rsid w:val="009E6105"/>
    <w:rsid w:val="009E7C1C"/>
    <w:rsid w:val="009F3711"/>
    <w:rsid w:val="009F573F"/>
    <w:rsid w:val="009F5C86"/>
    <w:rsid w:val="00A02FF2"/>
    <w:rsid w:val="00A05CAB"/>
    <w:rsid w:val="00A074E9"/>
    <w:rsid w:val="00A1245B"/>
    <w:rsid w:val="00A26620"/>
    <w:rsid w:val="00A2688B"/>
    <w:rsid w:val="00A27CDD"/>
    <w:rsid w:val="00A32A5E"/>
    <w:rsid w:val="00A33458"/>
    <w:rsid w:val="00A34276"/>
    <w:rsid w:val="00A4014A"/>
    <w:rsid w:val="00A44A49"/>
    <w:rsid w:val="00A5388A"/>
    <w:rsid w:val="00A53A57"/>
    <w:rsid w:val="00A53C11"/>
    <w:rsid w:val="00A557B3"/>
    <w:rsid w:val="00A612AA"/>
    <w:rsid w:val="00A629BE"/>
    <w:rsid w:val="00A65670"/>
    <w:rsid w:val="00A65B58"/>
    <w:rsid w:val="00A67A92"/>
    <w:rsid w:val="00A70B26"/>
    <w:rsid w:val="00A74D30"/>
    <w:rsid w:val="00A75691"/>
    <w:rsid w:val="00A80C55"/>
    <w:rsid w:val="00A95265"/>
    <w:rsid w:val="00AA1D76"/>
    <w:rsid w:val="00AA4701"/>
    <w:rsid w:val="00AA4A99"/>
    <w:rsid w:val="00AA7242"/>
    <w:rsid w:val="00AB1482"/>
    <w:rsid w:val="00AB1FA3"/>
    <w:rsid w:val="00AB2778"/>
    <w:rsid w:val="00AB7EE6"/>
    <w:rsid w:val="00AC04A7"/>
    <w:rsid w:val="00AC129D"/>
    <w:rsid w:val="00AC24F1"/>
    <w:rsid w:val="00AC254B"/>
    <w:rsid w:val="00AC38FF"/>
    <w:rsid w:val="00AC435D"/>
    <w:rsid w:val="00AC4391"/>
    <w:rsid w:val="00AD08DF"/>
    <w:rsid w:val="00AD0AD7"/>
    <w:rsid w:val="00AD25AC"/>
    <w:rsid w:val="00AD2E03"/>
    <w:rsid w:val="00AD78AE"/>
    <w:rsid w:val="00AD7C39"/>
    <w:rsid w:val="00AF085A"/>
    <w:rsid w:val="00AF2213"/>
    <w:rsid w:val="00B027A4"/>
    <w:rsid w:val="00B06630"/>
    <w:rsid w:val="00B07406"/>
    <w:rsid w:val="00B10495"/>
    <w:rsid w:val="00B11D77"/>
    <w:rsid w:val="00B22E55"/>
    <w:rsid w:val="00B236D1"/>
    <w:rsid w:val="00B23882"/>
    <w:rsid w:val="00B266F0"/>
    <w:rsid w:val="00B3183E"/>
    <w:rsid w:val="00B36BCE"/>
    <w:rsid w:val="00B370CE"/>
    <w:rsid w:val="00B41E61"/>
    <w:rsid w:val="00B421AC"/>
    <w:rsid w:val="00B435F6"/>
    <w:rsid w:val="00B43C8B"/>
    <w:rsid w:val="00B4743F"/>
    <w:rsid w:val="00B5003E"/>
    <w:rsid w:val="00B51ADA"/>
    <w:rsid w:val="00B52F24"/>
    <w:rsid w:val="00B5487A"/>
    <w:rsid w:val="00B568EF"/>
    <w:rsid w:val="00B62CED"/>
    <w:rsid w:val="00B66E2B"/>
    <w:rsid w:val="00B675BB"/>
    <w:rsid w:val="00B75C0A"/>
    <w:rsid w:val="00B82125"/>
    <w:rsid w:val="00B831F1"/>
    <w:rsid w:val="00B955E5"/>
    <w:rsid w:val="00B96337"/>
    <w:rsid w:val="00BA0D9C"/>
    <w:rsid w:val="00BA1C44"/>
    <w:rsid w:val="00BA2A2A"/>
    <w:rsid w:val="00BA3279"/>
    <w:rsid w:val="00BA3B69"/>
    <w:rsid w:val="00BA54AF"/>
    <w:rsid w:val="00BA5F7E"/>
    <w:rsid w:val="00BA7A44"/>
    <w:rsid w:val="00BB3FC9"/>
    <w:rsid w:val="00BB5780"/>
    <w:rsid w:val="00BB7D2E"/>
    <w:rsid w:val="00BC577A"/>
    <w:rsid w:val="00BC7873"/>
    <w:rsid w:val="00BD09F4"/>
    <w:rsid w:val="00BD19E7"/>
    <w:rsid w:val="00BD2A27"/>
    <w:rsid w:val="00BD41D5"/>
    <w:rsid w:val="00BD7045"/>
    <w:rsid w:val="00BD7ACF"/>
    <w:rsid w:val="00BE792F"/>
    <w:rsid w:val="00BF63A8"/>
    <w:rsid w:val="00C00A69"/>
    <w:rsid w:val="00C015CC"/>
    <w:rsid w:val="00C02C88"/>
    <w:rsid w:val="00C02CA6"/>
    <w:rsid w:val="00C04B97"/>
    <w:rsid w:val="00C14A8B"/>
    <w:rsid w:val="00C14C3D"/>
    <w:rsid w:val="00C15187"/>
    <w:rsid w:val="00C167D8"/>
    <w:rsid w:val="00C23D87"/>
    <w:rsid w:val="00C25296"/>
    <w:rsid w:val="00C25DFD"/>
    <w:rsid w:val="00C268F6"/>
    <w:rsid w:val="00C3052B"/>
    <w:rsid w:val="00C314B0"/>
    <w:rsid w:val="00C32D0F"/>
    <w:rsid w:val="00C33405"/>
    <w:rsid w:val="00C36C20"/>
    <w:rsid w:val="00C41EF4"/>
    <w:rsid w:val="00C42053"/>
    <w:rsid w:val="00C428F2"/>
    <w:rsid w:val="00C4527D"/>
    <w:rsid w:val="00C45690"/>
    <w:rsid w:val="00C4627F"/>
    <w:rsid w:val="00C518CC"/>
    <w:rsid w:val="00C524C4"/>
    <w:rsid w:val="00C5463C"/>
    <w:rsid w:val="00C56408"/>
    <w:rsid w:val="00C600E1"/>
    <w:rsid w:val="00C61536"/>
    <w:rsid w:val="00C6357C"/>
    <w:rsid w:val="00C719E3"/>
    <w:rsid w:val="00C739E3"/>
    <w:rsid w:val="00C747BF"/>
    <w:rsid w:val="00C809AF"/>
    <w:rsid w:val="00C849A4"/>
    <w:rsid w:val="00C905A2"/>
    <w:rsid w:val="00C911F6"/>
    <w:rsid w:val="00C91E83"/>
    <w:rsid w:val="00C95712"/>
    <w:rsid w:val="00C97022"/>
    <w:rsid w:val="00CA38BA"/>
    <w:rsid w:val="00CA446F"/>
    <w:rsid w:val="00CA68AD"/>
    <w:rsid w:val="00CB7CDA"/>
    <w:rsid w:val="00CC19E7"/>
    <w:rsid w:val="00CC2404"/>
    <w:rsid w:val="00CC34E0"/>
    <w:rsid w:val="00CC389A"/>
    <w:rsid w:val="00CD088C"/>
    <w:rsid w:val="00CD218F"/>
    <w:rsid w:val="00CD2A89"/>
    <w:rsid w:val="00CE0357"/>
    <w:rsid w:val="00CE3510"/>
    <w:rsid w:val="00CE723C"/>
    <w:rsid w:val="00CF22D1"/>
    <w:rsid w:val="00CF5E5D"/>
    <w:rsid w:val="00D03704"/>
    <w:rsid w:val="00D04900"/>
    <w:rsid w:val="00D05BF2"/>
    <w:rsid w:val="00D13510"/>
    <w:rsid w:val="00D21FA2"/>
    <w:rsid w:val="00D22777"/>
    <w:rsid w:val="00D26D9F"/>
    <w:rsid w:val="00D32AAF"/>
    <w:rsid w:val="00D363C9"/>
    <w:rsid w:val="00D36A1B"/>
    <w:rsid w:val="00D37009"/>
    <w:rsid w:val="00D41148"/>
    <w:rsid w:val="00D42B22"/>
    <w:rsid w:val="00D44894"/>
    <w:rsid w:val="00D44E97"/>
    <w:rsid w:val="00D46392"/>
    <w:rsid w:val="00D522D1"/>
    <w:rsid w:val="00D61501"/>
    <w:rsid w:val="00D63618"/>
    <w:rsid w:val="00D76CAB"/>
    <w:rsid w:val="00D803AE"/>
    <w:rsid w:val="00D87270"/>
    <w:rsid w:val="00D90B80"/>
    <w:rsid w:val="00D917C3"/>
    <w:rsid w:val="00D929E4"/>
    <w:rsid w:val="00D931C9"/>
    <w:rsid w:val="00DA7AE3"/>
    <w:rsid w:val="00DB689F"/>
    <w:rsid w:val="00DC6D17"/>
    <w:rsid w:val="00DC7767"/>
    <w:rsid w:val="00DC7A9D"/>
    <w:rsid w:val="00DD014A"/>
    <w:rsid w:val="00DD2B61"/>
    <w:rsid w:val="00DD640E"/>
    <w:rsid w:val="00DE4E39"/>
    <w:rsid w:val="00DE553B"/>
    <w:rsid w:val="00DE687E"/>
    <w:rsid w:val="00DF1C07"/>
    <w:rsid w:val="00DF5FB1"/>
    <w:rsid w:val="00DF6E92"/>
    <w:rsid w:val="00E00F62"/>
    <w:rsid w:val="00E0386F"/>
    <w:rsid w:val="00E03E38"/>
    <w:rsid w:val="00E100B5"/>
    <w:rsid w:val="00E10C0C"/>
    <w:rsid w:val="00E12A39"/>
    <w:rsid w:val="00E1520C"/>
    <w:rsid w:val="00E15785"/>
    <w:rsid w:val="00E1649B"/>
    <w:rsid w:val="00E174AB"/>
    <w:rsid w:val="00E212AE"/>
    <w:rsid w:val="00E22419"/>
    <w:rsid w:val="00E24886"/>
    <w:rsid w:val="00E26990"/>
    <w:rsid w:val="00E2704B"/>
    <w:rsid w:val="00E30ACA"/>
    <w:rsid w:val="00E323D5"/>
    <w:rsid w:val="00E3628C"/>
    <w:rsid w:val="00E367A8"/>
    <w:rsid w:val="00E42E69"/>
    <w:rsid w:val="00E42FAA"/>
    <w:rsid w:val="00E43440"/>
    <w:rsid w:val="00E44D26"/>
    <w:rsid w:val="00E4518A"/>
    <w:rsid w:val="00E4572D"/>
    <w:rsid w:val="00E47688"/>
    <w:rsid w:val="00E47965"/>
    <w:rsid w:val="00E53138"/>
    <w:rsid w:val="00E7516D"/>
    <w:rsid w:val="00E756A1"/>
    <w:rsid w:val="00E76C8B"/>
    <w:rsid w:val="00E77170"/>
    <w:rsid w:val="00E86136"/>
    <w:rsid w:val="00E9120F"/>
    <w:rsid w:val="00E921EE"/>
    <w:rsid w:val="00E93194"/>
    <w:rsid w:val="00E9481B"/>
    <w:rsid w:val="00E961FE"/>
    <w:rsid w:val="00EA3D18"/>
    <w:rsid w:val="00EB2BAD"/>
    <w:rsid w:val="00EB468F"/>
    <w:rsid w:val="00EB50E8"/>
    <w:rsid w:val="00EB55AF"/>
    <w:rsid w:val="00EB6FE9"/>
    <w:rsid w:val="00EC2F18"/>
    <w:rsid w:val="00EC66E7"/>
    <w:rsid w:val="00EC7BF9"/>
    <w:rsid w:val="00EC7CF5"/>
    <w:rsid w:val="00ED60E7"/>
    <w:rsid w:val="00EE5B6A"/>
    <w:rsid w:val="00EF70C1"/>
    <w:rsid w:val="00F02696"/>
    <w:rsid w:val="00F034F2"/>
    <w:rsid w:val="00F04A4F"/>
    <w:rsid w:val="00F12ADD"/>
    <w:rsid w:val="00F12B0F"/>
    <w:rsid w:val="00F17969"/>
    <w:rsid w:val="00F22920"/>
    <w:rsid w:val="00F24EA3"/>
    <w:rsid w:val="00F30CE9"/>
    <w:rsid w:val="00F316F7"/>
    <w:rsid w:val="00F340EB"/>
    <w:rsid w:val="00F37547"/>
    <w:rsid w:val="00F42DF3"/>
    <w:rsid w:val="00F43A5F"/>
    <w:rsid w:val="00F4602F"/>
    <w:rsid w:val="00F5063C"/>
    <w:rsid w:val="00F5352C"/>
    <w:rsid w:val="00F54AB9"/>
    <w:rsid w:val="00F565E6"/>
    <w:rsid w:val="00F62BAF"/>
    <w:rsid w:val="00F6499B"/>
    <w:rsid w:val="00F662CE"/>
    <w:rsid w:val="00F75036"/>
    <w:rsid w:val="00F77501"/>
    <w:rsid w:val="00F91A49"/>
    <w:rsid w:val="00F91E40"/>
    <w:rsid w:val="00F95286"/>
    <w:rsid w:val="00FA3509"/>
    <w:rsid w:val="00FA39E7"/>
    <w:rsid w:val="00FA6082"/>
    <w:rsid w:val="00FA75FB"/>
    <w:rsid w:val="00FB1191"/>
    <w:rsid w:val="00FB517D"/>
    <w:rsid w:val="00FB6C4B"/>
    <w:rsid w:val="00FB6C4C"/>
    <w:rsid w:val="00FC2EC9"/>
    <w:rsid w:val="00FC587B"/>
    <w:rsid w:val="00FD1C44"/>
    <w:rsid w:val="00FD33FA"/>
    <w:rsid w:val="00FD5945"/>
    <w:rsid w:val="00FD7CE9"/>
    <w:rsid w:val="00FE19FC"/>
    <w:rsid w:val="00FE60AA"/>
    <w:rsid w:val="00FE79EA"/>
    <w:rsid w:val="00FF35CE"/>
    <w:rsid w:val="00FF6135"/>
    <w:rsid w:val="00FF659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832EA3"/>
  <w15:docId w15:val="{B1A7E637-C8A1-4639-B1DD-C4BD42E7E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Unresolved Mention" w:semiHidden="1" w:unhideWhenUsed="1"/>
    <w:lsdException w:name="Smart Link" w:semiHidden="1" w:unhideWhenUsed="1"/>
  </w:latentStyles>
  <w:style w:type="paragraph" w:default="1" w:styleId="Normal">
    <w:name w:val="Normal"/>
    <w:qFormat/>
    <w:rsid w:val="00994503"/>
  </w:style>
  <w:style w:type="paragraph" w:styleId="Heading1">
    <w:name w:val="heading 1"/>
    <w:aliases w:val="[F] H1"/>
    <w:basedOn w:val="Normal"/>
    <w:next w:val="Normal"/>
    <w:link w:val="Heading1Char"/>
    <w:uiPriority w:val="9"/>
    <w:qFormat/>
    <w:rsid w:val="004804F7"/>
    <w:pPr>
      <w:keepNext/>
      <w:keepLines/>
      <w:numPr>
        <w:numId w:val="1"/>
      </w:numPr>
      <w:spacing w:before="240" w:after="120" w:line="259" w:lineRule="auto"/>
      <w:ind w:left="357" w:hanging="357"/>
      <w:jc w:val="both"/>
      <w:outlineLvl w:val="0"/>
    </w:pPr>
    <w:rPr>
      <w:rFonts w:ascii="Calibri" w:eastAsiaTheme="majorEastAsia" w:hAnsi="Calibri" w:cs="Rajdhani Semibold"/>
      <w:b/>
      <w:szCs w:val="32"/>
      <w:lang w:val="en-GB"/>
    </w:rPr>
  </w:style>
  <w:style w:type="paragraph" w:styleId="Heading2">
    <w:name w:val="heading 2"/>
    <w:aliases w:val="[F] H2"/>
    <w:basedOn w:val="Normal"/>
    <w:next w:val="Normal"/>
    <w:link w:val="Heading2Char"/>
    <w:uiPriority w:val="9"/>
    <w:unhideWhenUsed/>
    <w:qFormat/>
    <w:rsid w:val="00F43A5F"/>
    <w:pPr>
      <w:keepNext/>
      <w:keepLines/>
      <w:numPr>
        <w:ilvl w:val="1"/>
        <w:numId w:val="1"/>
      </w:numPr>
      <w:spacing w:before="120" w:after="120" w:line="259" w:lineRule="auto"/>
      <w:jc w:val="both"/>
      <w:outlineLvl w:val="1"/>
    </w:pPr>
    <w:rPr>
      <w:rFonts w:ascii="Rajdhani Semibold" w:eastAsiaTheme="majorEastAsia" w:hAnsi="Rajdhani Semibold" w:cs="Rajdhani Semibold"/>
      <w:b/>
      <w:sz w:val="28"/>
      <w:szCs w:val="28"/>
      <w:lang w:val="en-GB"/>
    </w:rPr>
  </w:style>
  <w:style w:type="paragraph" w:styleId="Heading3">
    <w:name w:val="heading 3"/>
    <w:aliases w:val="[F] H3"/>
    <w:basedOn w:val="Normal"/>
    <w:next w:val="Normal"/>
    <w:link w:val="Heading3Char"/>
    <w:uiPriority w:val="9"/>
    <w:unhideWhenUsed/>
    <w:qFormat/>
    <w:rsid w:val="00F43A5F"/>
    <w:pPr>
      <w:keepNext/>
      <w:keepLines/>
      <w:numPr>
        <w:ilvl w:val="2"/>
        <w:numId w:val="1"/>
      </w:numPr>
      <w:spacing w:before="160" w:after="120" w:line="259" w:lineRule="auto"/>
      <w:jc w:val="both"/>
      <w:outlineLvl w:val="2"/>
    </w:pPr>
    <w:rPr>
      <w:rFonts w:ascii="Rajdhani Semibold" w:eastAsiaTheme="majorEastAsia" w:hAnsi="Rajdhani Semibold" w:cs="Rajdhani Semibold"/>
      <w:sz w:val="24"/>
      <w:szCs w:val="24"/>
      <w:lang w:val="en-GB"/>
    </w:rPr>
  </w:style>
  <w:style w:type="paragraph" w:styleId="Heading4">
    <w:name w:val="heading 4"/>
    <w:aliases w:val="[F] H4"/>
    <w:basedOn w:val="Heading3"/>
    <w:next w:val="Normal"/>
    <w:link w:val="Heading4Char"/>
    <w:uiPriority w:val="9"/>
    <w:unhideWhenUsed/>
    <w:qFormat/>
    <w:rsid w:val="00F43A5F"/>
    <w:pPr>
      <w:numPr>
        <w:ilvl w:val="3"/>
      </w:num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A78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78EE"/>
    <w:rPr>
      <w:rFonts w:ascii="Tahoma" w:hAnsi="Tahoma" w:cs="Tahoma"/>
      <w:sz w:val="16"/>
      <w:szCs w:val="16"/>
    </w:rPr>
  </w:style>
  <w:style w:type="paragraph" w:styleId="NormalWeb">
    <w:name w:val="Normal (Web)"/>
    <w:basedOn w:val="Normal"/>
    <w:uiPriority w:val="99"/>
    <w:unhideWhenUsed/>
    <w:rsid w:val="00471551"/>
    <w:pPr>
      <w:spacing w:before="100" w:beforeAutospacing="1" w:after="100" w:afterAutospacing="1" w:line="240" w:lineRule="auto"/>
    </w:pPr>
    <w:rPr>
      <w:rFonts w:ascii="Times" w:eastAsia="Times New Roman" w:hAnsi="Times" w:cs="Times New Roman"/>
      <w:sz w:val="20"/>
      <w:szCs w:val="20"/>
      <w:lang w:val="en-GB"/>
    </w:rPr>
  </w:style>
  <w:style w:type="paragraph" w:styleId="ListParagraph">
    <w:name w:val="List Paragraph"/>
    <w:basedOn w:val="Normal"/>
    <w:uiPriority w:val="34"/>
    <w:qFormat/>
    <w:rsid w:val="00471551"/>
    <w:pPr>
      <w:spacing w:after="0" w:line="240" w:lineRule="auto"/>
      <w:ind w:left="720"/>
      <w:contextualSpacing/>
    </w:pPr>
    <w:rPr>
      <w:rFonts w:ascii="Trebuchet MS" w:eastAsia="Times New Roman" w:hAnsi="Trebuchet MS" w:cs="Times New Roman"/>
      <w:sz w:val="20"/>
      <w:szCs w:val="20"/>
      <w:lang w:val="en-GB"/>
    </w:rPr>
  </w:style>
  <w:style w:type="character" w:styleId="Hyperlink">
    <w:name w:val="Hyperlink"/>
    <w:basedOn w:val="DefaultParagraphFont"/>
    <w:uiPriority w:val="99"/>
    <w:unhideWhenUsed/>
    <w:rsid w:val="00471551"/>
    <w:rPr>
      <w:color w:val="0000FF" w:themeColor="hyperlink"/>
      <w:u w:val="single"/>
    </w:rPr>
  </w:style>
  <w:style w:type="paragraph" w:styleId="Header">
    <w:name w:val="header"/>
    <w:basedOn w:val="Normal"/>
    <w:link w:val="HeaderChar"/>
    <w:uiPriority w:val="99"/>
    <w:unhideWhenUsed/>
    <w:rsid w:val="00CC19E7"/>
    <w:pPr>
      <w:tabs>
        <w:tab w:val="center" w:pos="4320"/>
        <w:tab w:val="right" w:pos="8640"/>
      </w:tabs>
      <w:spacing w:after="0" w:line="240" w:lineRule="auto"/>
    </w:pPr>
    <w:rPr>
      <w:rFonts w:ascii="Trebuchet MS" w:eastAsia="Times New Roman" w:hAnsi="Trebuchet MS" w:cs="Times New Roman"/>
      <w:sz w:val="20"/>
      <w:szCs w:val="20"/>
      <w:lang w:val="en-GB"/>
    </w:rPr>
  </w:style>
  <w:style w:type="character" w:customStyle="1" w:styleId="HeaderChar">
    <w:name w:val="Header Char"/>
    <w:basedOn w:val="DefaultParagraphFont"/>
    <w:link w:val="Header"/>
    <w:uiPriority w:val="99"/>
    <w:rsid w:val="00CC19E7"/>
    <w:rPr>
      <w:rFonts w:ascii="Trebuchet MS" w:eastAsia="Times New Roman" w:hAnsi="Trebuchet MS" w:cs="Times New Roman"/>
      <w:sz w:val="20"/>
      <w:szCs w:val="20"/>
      <w:lang w:val="en-GB"/>
    </w:rPr>
  </w:style>
  <w:style w:type="paragraph" w:customStyle="1" w:styleId="Default">
    <w:name w:val="Default"/>
    <w:rsid w:val="00D05BF2"/>
    <w:pPr>
      <w:autoSpaceDE w:val="0"/>
      <w:autoSpaceDN w:val="0"/>
      <w:adjustRightInd w:val="0"/>
      <w:spacing w:after="0" w:line="240" w:lineRule="auto"/>
    </w:pPr>
    <w:rPr>
      <w:rFonts w:ascii="Trebuchet MS" w:eastAsiaTheme="minorEastAsia" w:hAnsi="Trebuchet MS" w:cs="Trebuchet MS"/>
      <w:color w:val="000000"/>
      <w:sz w:val="24"/>
      <w:szCs w:val="24"/>
      <w:lang w:val="en-GB"/>
    </w:rPr>
  </w:style>
  <w:style w:type="table" w:styleId="TableGrid">
    <w:name w:val="Table Grid"/>
    <w:basedOn w:val="TableNormal"/>
    <w:uiPriority w:val="59"/>
    <w:rsid w:val="00D05BF2"/>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seEmphasis">
    <w:name w:val="Intense Emphasis"/>
    <w:basedOn w:val="DefaultParagraphFont"/>
    <w:uiPriority w:val="21"/>
    <w:qFormat/>
    <w:rsid w:val="00D03704"/>
    <w:rPr>
      <w:b/>
      <w:bCs/>
    </w:rPr>
  </w:style>
  <w:style w:type="character" w:customStyle="1" w:styleId="Heading1Char">
    <w:name w:val="Heading 1 Char"/>
    <w:aliases w:val="[F] H1 Char"/>
    <w:basedOn w:val="DefaultParagraphFont"/>
    <w:link w:val="Heading1"/>
    <w:uiPriority w:val="9"/>
    <w:rsid w:val="004804F7"/>
    <w:rPr>
      <w:rFonts w:ascii="Calibri" w:eastAsiaTheme="majorEastAsia" w:hAnsi="Calibri" w:cs="Rajdhani Semibold"/>
      <w:b/>
      <w:szCs w:val="32"/>
      <w:lang w:val="en-GB"/>
    </w:rPr>
  </w:style>
  <w:style w:type="character" w:customStyle="1" w:styleId="Heading2Char">
    <w:name w:val="Heading 2 Char"/>
    <w:aliases w:val="[F] H2 Char"/>
    <w:basedOn w:val="DefaultParagraphFont"/>
    <w:link w:val="Heading2"/>
    <w:uiPriority w:val="9"/>
    <w:rsid w:val="00F43A5F"/>
    <w:rPr>
      <w:rFonts w:ascii="Rajdhani Semibold" w:eastAsiaTheme="majorEastAsia" w:hAnsi="Rajdhani Semibold" w:cs="Rajdhani Semibold"/>
      <w:b/>
      <w:sz w:val="28"/>
      <w:szCs w:val="28"/>
      <w:lang w:val="en-GB"/>
    </w:rPr>
  </w:style>
  <w:style w:type="character" w:customStyle="1" w:styleId="Heading3Char">
    <w:name w:val="Heading 3 Char"/>
    <w:aliases w:val="[F] H3 Char"/>
    <w:basedOn w:val="DefaultParagraphFont"/>
    <w:link w:val="Heading3"/>
    <w:uiPriority w:val="9"/>
    <w:rsid w:val="00F43A5F"/>
    <w:rPr>
      <w:rFonts w:ascii="Rajdhani Semibold" w:eastAsiaTheme="majorEastAsia" w:hAnsi="Rajdhani Semibold" w:cs="Rajdhani Semibold"/>
      <w:sz w:val="24"/>
      <w:szCs w:val="24"/>
      <w:lang w:val="en-GB"/>
    </w:rPr>
  </w:style>
  <w:style w:type="character" w:customStyle="1" w:styleId="Heading4Char">
    <w:name w:val="Heading 4 Char"/>
    <w:aliases w:val="[F] H4 Char"/>
    <w:basedOn w:val="DefaultParagraphFont"/>
    <w:link w:val="Heading4"/>
    <w:uiPriority w:val="9"/>
    <w:rsid w:val="00F43A5F"/>
    <w:rPr>
      <w:rFonts w:ascii="Rajdhani Semibold" w:eastAsiaTheme="majorEastAsia" w:hAnsi="Rajdhani Semibold" w:cs="Rajdhani Semibold"/>
      <w:sz w:val="24"/>
      <w:szCs w:val="24"/>
      <w:lang w:val="en-GB"/>
    </w:rPr>
  </w:style>
  <w:style w:type="character" w:customStyle="1" w:styleId="Title2Char">
    <w:name w:val="Title 2 Char"/>
    <w:basedOn w:val="DefaultParagraphFont"/>
    <w:link w:val="Title2"/>
    <w:locked/>
    <w:rsid w:val="00F43A5F"/>
    <w:rPr>
      <w:rFonts w:ascii="Rajdhani" w:eastAsiaTheme="majorEastAsia" w:hAnsi="Rajdhani" w:cstheme="majorBidi"/>
      <w:b/>
      <w:spacing w:val="-10"/>
      <w:kern w:val="28"/>
      <w:sz w:val="44"/>
      <w:szCs w:val="44"/>
    </w:rPr>
  </w:style>
  <w:style w:type="paragraph" w:customStyle="1" w:styleId="Title2">
    <w:name w:val="Title 2"/>
    <w:basedOn w:val="Title"/>
    <w:link w:val="Title2Char"/>
    <w:qFormat/>
    <w:rsid w:val="00F43A5F"/>
    <w:pPr>
      <w:spacing w:before="120" w:line="276" w:lineRule="auto"/>
      <w:jc w:val="both"/>
    </w:pPr>
    <w:rPr>
      <w:rFonts w:ascii="Rajdhani" w:hAnsi="Rajdhani"/>
      <w:b/>
      <w:sz w:val="44"/>
      <w:szCs w:val="44"/>
    </w:rPr>
  </w:style>
  <w:style w:type="paragraph" w:styleId="Title">
    <w:name w:val="Title"/>
    <w:basedOn w:val="Normal"/>
    <w:next w:val="Normal"/>
    <w:link w:val="TitleChar"/>
    <w:uiPriority w:val="10"/>
    <w:qFormat/>
    <w:rsid w:val="00F43A5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43A5F"/>
    <w:rPr>
      <w:rFonts w:asciiTheme="majorHAnsi" w:eastAsiaTheme="majorEastAsia" w:hAnsiTheme="majorHAnsi" w:cstheme="majorBidi"/>
      <w:spacing w:val="-10"/>
      <w:kern w:val="28"/>
      <w:sz w:val="56"/>
      <w:szCs w:val="56"/>
    </w:rPr>
  </w:style>
  <w:style w:type="character" w:styleId="CommentReference">
    <w:name w:val="annotation reference"/>
    <w:basedOn w:val="DefaultParagraphFont"/>
    <w:uiPriority w:val="99"/>
    <w:semiHidden/>
    <w:unhideWhenUsed/>
    <w:rsid w:val="00FF6135"/>
    <w:rPr>
      <w:sz w:val="16"/>
      <w:szCs w:val="16"/>
    </w:rPr>
  </w:style>
  <w:style w:type="paragraph" w:styleId="CommentText">
    <w:name w:val="annotation text"/>
    <w:basedOn w:val="Normal"/>
    <w:link w:val="CommentTextChar"/>
    <w:uiPriority w:val="99"/>
    <w:semiHidden/>
    <w:unhideWhenUsed/>
    <w:rsid w:val="00FF6135"/>
    <w:pPr>
      <w:spacing w:line="240" w:lineRule="auto"/>
    </w:pPr>
    <w:rPr>
      <w:sz w:val="20"/>
      <w:szCs w:val="20"/>
    </w:rPr>
  </w:style>
  <w:style w:type="character" w:customStyle="1" w:styleId="CommentTextChar">
    <w:name w:val="Comment Text Char"/>
    <w:basedOn w:val="DefaultParagraphFont"/>
    <w:link w:val="CommentText"/>
    <w:uiPriority w:val="99"/>
    <w:semiHidden/>
    <w:rsid w:val="00FF6135"/>
    <w:rPr>
      <w:sz w:val="20"/>
      <w:szCs w:val="20"/>
    </w:rPr>
  </w:style>
  <w:style w:type="paragraph" w:styleId="CommentSubject">
    <w:name w:val="annotation subject"/>
    <w:basedOn w:val="CommentText"/>
    <w:next w:val="CommentText"/>
    <w:link w:val="CommentSubjectChar"/>
    <w:uiPriority w:val="99"/>
    <w:semiHidden/>
    <w:unhideWhenUsed/>
    <w:rsid w:val="00FF6135"/>
    <w:rPr>
      <w:b/>
      <w:bCs/>
    </w:rPr>
  </w:style>
  <w:style w:type="character" w:customStyle="1" w:styleId="CommentSubjectChar">
    <w:name w:val="Comment Subject Char"/>
    <w:basedOn w:val="CommentTextChar"/>
    <w:link w:val="CommentSubject"/>
    <w:uiPriority w:val="99"/>
    <w:semiHidden/>
    <w:rsid w:val="00FF6135"/>
    <w:rPr>
      <w:b/>
      <w:bCs/>
      <w:sz w:val="20"/>
      <w:szCs w:val="20"/>
    </w:rPr>
  </w:style>
  <w:style w:type="paragraph" w:styleId="Footer">
    <w:name w:val="footer"/>
    <w:basedOn w:val="Normal"/>
    <w:link w:val="FooterChar"/>
    <w:uiPriority w:val="99"/>
    <w:semiHidden/>
    <w:unhideWhenUsed/>
    <w:rsid w:val="000373C3"/>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0373C3"/>
  </w:style>
  <w:style w:type="paragraph" w:styleId="Caption">
    <w:name w:val="caption"/>
    <w:basedOn w:val="Normal"/>
    <w:next w:val="Normal"/>
    <w:uiPriority w:val="35"/>
    <w:unhideWhenUsed/>
    <w:qFormat/>
    <w:rsid w:val="006A762A"/>
    <w:pPr>
      <w:spacing w:line="240" w:lineRule="auto"/>
    </w:pPr>
    <w:rPr>
      <w:i/>
      <w:iCs/>
      <w:color w:val="1F497D" w:themeColor="text2"/>
      <w:sz w:val="18"/>
      <w:szCs w:val="18"/>
    </w:rPr>
  </w:style>
  <w:style w:type="paragraph" w:styleId="Revision">
    <w:name w:val="Revision"/>
    <w:hidden/>
    <w:uiPriority w:val="99"/>
    <w:semiHidden/>
    <w:rsid w:val="00847FB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551421">
      <w:bodyDiv w:val="1"/>
      <w:marLeft w:val="0"/>
      <w:marRight w:val="0"/>
      <w:marTop w:val="0"/>
      <w:marBottom w:val="0"/>
      <w:divBdr>
        <w:top w:val="none" w:sz="0" w:space="0" w:color="auto"/>
        <w:left w:val="none" w:sz="0" w:space="0" w:color="auto"/>
        <w:bottom w:val="none" w:sz="0" w:space="0" w:color="auto"/>
        <w:right w:val="none" w:sz="0" w:space="0" w:color="auto"/>
      </w:divBdr>
    </w:div>
    <w:div w:id="1174882959">
      <w:bodyDiv w:val="1"/>
      <w:marLeft w:val="0"/>
      <w:marRight w:val="0"/>
      <w:marTop w:val="0"/>
      <w:marBottom w:val="0"/>
      <w:divBdr>
        <w:top w:val="none" w:sz="0" w:space="0" w:color="auto"/>
        <w:left w:val="none" w:sz="0" w:space="0" w:color="auto"/>
        <w:bottom w:val="none" w:sz="0" w:space="0" w:color="auto"/>
        <w:right w:val="none" w:sz="0" w:space="0" w:color="auto"/>
      </w:divBdr>
    </w:div>
    <w:div w:id="1450585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cid:image001.png@01D62D03.260434D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6DC498062F0D24B9728CC3DEABA7DB0" ma:contentTypeVersion="15" ma:contentTypeDescription="Create a new document." ma:contentTypeScope="" ma:versionID="a34187cab06abf82d281738e0c1b5f9a">
  <xsd:schema xmlns:xsd="http://www.w3.org/2001/XMLSchema" xmlns:xs="http://www.w3.org/2001/XMLSchema" xmlns:p="http://schemas.microsoft.com/office/2006/metadata/properties" xmlns:ns2="394d8203-4eba-47b9-82f0-06811e3cd0ce" xmlns:ns3="6d10c29a-790e-4860-b978-88be68d36285" targetNamespace="http://schemas.microsoft.com/office/2006/metadata/properties" ma:root="true" ma:fieldsID="6f94d546d9c2eedd466ab5bbf555004a" ns2:_="" ns3:_="">
    <xsd:import namespace="394d8203-4eba-47b9-82f0-06811e3cd0ce"/>
    <xsd:import namespace="6d10c29a-790e-4860-b978-88be68d3628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4d8203-4eba-47b9-82f0-06811e3cd0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d10c29a-790e-4860-b978-88be68d36285"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E3D10E-2F54-4DA5-8529-24CE1A5312FF}"/>
</file>

<file path=customXml/itemProps2.xml><?xml version="1.0" encoding="utf-8"?>
<ds:datastoreItem xmlns:ds="http://schemas.openxmlformats.org/officeDocument/2006/customXml" ds:itemID="{A4ACE809-DF8C-446C-BBAE-677C118DCD18}">
  <ds:schemaRefs>
    <ds:schemaRef ds:uri="http://schemas.microsoft.com/sharepoint/v3/contenttype/forms"/>
  </ds:schemaRefs>
</ds:datastoreItem>
</file>

<file path=customXml/itemProps3.xml><?xml version="1.0" encoding="utf-8"?>
<ds:datastoreItem xmlns:ds="http://schemas.openxmlformats.org/officeDocument/2006/customXml" ds:itemID="{C1B3AAFC-9F62-479E-8323-5DF2FB0BC60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01EE05-420A-4FB5-8821-9F6DE3E31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5</Pages>
  <Words>1401</Words>
  <Characters>7992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GJ</dc:creator>
  <cp:keywords/>
  <cp:lastModifiedBy>Freddie Valletta</cp:lastModifiedBy>
  <cp:revision>20</cp:revision>
  <cp:lastPrinted>2021-05-11T13:02:00Z</cp:lastPrinted>
  <dcterms:created xsi:type="dcterms:W3CDTF">2021-05-05T15:21:00Z</dcterms:created>
  <dcterms:modified xsi:type="dcterms:W3CDTF">2022-05-13T16:09:00Z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0x010100B6DC498062F0D24B9728CC3DEABA7DB0</vt:lpwstr>
  </property>
</Properties>
</file>