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Ex2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body>
    <w:p w:rsidR="003C1C3F" w:rsidP="00F43A5F" w:rsidRDefault="003C1C3F" w14:paraId="298D8B22" w14:textId="77777777">
      <w:pPr>
        <w:ind w:hanging="142"/>
        <w:rPr>
          <w:rFonts w:cstheme="minorHAnsi"/>
          <w:noProof/>
          <w:color w:val="000000"/>
          <w:lang w:val="en-GB" w:eastAsia="en-GB"/>
        </w:rPr>
      </w:pPr>
    </w:p>
    <w:p w:rsidR="003C1C3F" w:rsidP="00F43A5F" w:rsidRDefault="003C1C3F" w14:paraId="6C46B900" w14:textId="77777777">
      <w:pPr>
        <w:ind w:hanging="142"/>
        <w:rPr>
          <w:rFonts w:cstheme="minorHAnsi"/>
          <w:noProof/>
          <w:color w:val="000000"/>
          <w:lang w:val="en-GB" w:eastAsia="en-GB"/>
        </w:rPr>
      </w:pPr>
    </w:p>
    <w:p w:rsidRPr="0068185E" w:rsidR="00DC7A9D" w:rsidP="773E0AAF" w:rsidRDefault="003C1C3F" w14:paraId="18641A6E" w14:textId="361F5D30">
      <w:pPr>
        <w:ind w:hanging="142"/>
        <w:rPr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8240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773E0AAF" w:rsidP="773E0AAF" w:rsidRDefault="773E0AAF" w14:paraId="234B3487" w14:textId="122EEFB7">
      <w:pPr>
        <w:ind w:hanging="142"/>
        <w:rPr>
          <w:noProof/>
          <w:color w:val="000000" w:themeColor="text1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Pr="0068185E" w:rsidR="00017C28" w:rsidTr="685CEB7D" w14:paraId="286F7613" w14:textId="7C25DBED">
        <w:tc>
          <w:tcPr>
            <w:tcW w:w="5807" w:type="dxa"/>
            <w:gridSpan w:val="3"/>
            <w:tcMar/>
          </w:tcPr>
          <w:p w:rsidRPr="0068185E" w:rsidR="00017C28" w:rsidP="00F43A5F" w:rsidRDefault="00017C28" w14:paraId="099807CA" w14:textId="4F8BDB60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  <w:tcMar/>
          </w:tcPr>
          <w:p w:rsidRPr="0068185E" w:rsidR="00017C28" w:rsidP="00F43A5F" w:rsidRDefault="00017C28" w14:paraId="53730896" w14:textId="648CBC52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Pr="0068185E" w:rsidR="00701A1C">
              <w:rPr>
                <w:rFonts w:cstheme="minorHAnsi"/>
                <w:b/>
                <w:sz w:val="32"/>
                <w:szCs w:val="36"/>
              </w:rPr>
              <w:t>-</w:t>
            </w:r>
            <w:r w:rsidR="003E4BC6">
              <w:rPr>
                <w:rFonts w:cstheme="minorHAnsi"/>
                <w:b/>
                <w:sz w:val="32"/>
                <w:szCs w:val="36"/>
              </w:rPr>
              <w:t>031</w:t>
            </w:r>
          </w:p>
        </w:tc>
      </w:tr>
      <w:tr w:rsidRPr="0068185E" w:rsidR="00017C28" w:rsidTr="685CEB7D" w14:paraId="3F21FD0F" w14:textId="7F1D3522">
        <w:tc>
          <w:tcPr>
            <w:tcW w:w="5807" w:type="dxa"/>
            <w:gridSpan w:val="3"/>
            <w:tcMar/>
          </w:tcPr>
          <w:p w:rsidRPr="0068185E" w:rsidR="00017C28" w:rsidP="773E0AAF" w:rsidRDefault="008B2DCF" w14:paraId="06ECA27B" w14:textId="2EE2482C">
            <w:pPr>
              <w:spacing w:before="120" w:after="120" w:line="276" w:lineRule="auto"/>
              <w:rPr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Test</w:t>
            </w:r>
            <w:r w:rsidRPr="773E0AAF" w:rsidR="00017C28">
              <w:rPr>
                <w:b/>
                <w:bCs/>
                <w:sz w:val="22"/>
                <w:szCs w:val="22"/>
              </w:rPr>
              <w:t>:</w:t>
            </w:r>
            <w:r w:rsidRPr="773E0AAF" w:rsidR="00017C28">
              <w:rPr>
                <w:sz w:val="22"/>
                <w:szCs w:val="22"/>
              </w:rPr>
              <w:t xml:space="preserve"> N/A</w:t>
            </w:r>
          </w:p>
        </w:tc>
        <w:tc>
          <w:tcPr>
            <w:tcW w:w="3516" w:type="dxa"/>
            <w:gridSpan w:val="2"/>
            <w:tcMar/>
          </w:tcPr>
          <w:p w:rsidRPr="0068185E" w:rsidR="00017C28" w:rsidP="773E0AAF" w:rsidRDefault="00AD7C39" w14:paraId="1E8C66F8" w14:textId="493BD548">
            <w:pPr>
              <w:spacing w:before="120" w:after="120" w:line="276" w:lineRule="auto"/>
              <w:rPr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Test no.</w:t>
            </w:r>
            <w:r w:rsidRPr="773E0AAF" w:rsidR="00017C28">
              <w:rPr>
                <w:b/>
                <w:bCs/>
                <w:sz w:val="22"/>
                <w:szCs w:val="22"/>
              </w:rPr>
              <w:t>:</w:t>
            </w:r>
            <w:r w:rsidRPr="773E0AAF" w:rsidR="00017C28">
              <w:rPr>
                <w:sz w:val="22"/>
                <w:szCs w:val="22"/>
              </w:rPr>
              <w:t xml:space="preserve"> N/A</w:t>
            </w:r>
          </w:p>
        </w:tc>
      </w:tr>
      <w:tr w:rsidRPr="0068185E" w:rsidR="003C1C3F" w:rsidTr="685CEB7D" w14:paraId="718C8716" w14:textId="77777777">
        <w:tc>
          <w:tcPr>
            <w:tcW w:w="5807" w:type="dxa"/>
            <w:gridSpan w:val="3"/>
            <w:tcMar/>
          </w:tcPr>
          <w:p w:rsidRPr="0068185E" w:rsidR="003C1C3F" w:rsidP="773E0AAF" w:rsidRDefault="003C1C3F" w14:paraId="636F8EFF" w14:textId="62990B93">
            <w:pPr>
              <w:spacing w:before="120" w:after="120"/>
              <w:rPr>
                <w:sz w:val="22"/>
                <w:szCs w:val="22"/>
              </w:rPr>
            </w:pPr>
            <w:r w:rsidRPr="1FB9825D">
              <w:rPr>
                <w:b/>
                <w:bCs/>
                <w:sz w:val="22"/>
                <w:szCs w:val="22"/>
              </w:rPr>
              <w:t>Assumption:</w:t>
            </w:r>
            <w:r w:rsidRPr="1FB9825D" w:rsidR="00102BEB">
              <w:rPr>
                <w:b/>
                <w:bCs/>
                <w:sz w:val="22"/>
                <w:szCs w:val="22"/>
              </w:rPr>
              <w:t xml:space="preserve"> </w:t>
            </w:r>
            <w:r w:rsidRPr="1FB9825D" w:rsidR="00017C28">
              <w:rPr>
                <w:sz w:val="22"/>
                <w:szCs w:val="22"/>
              </w:rPr>
              <w:t>Pass Thresholds</w:t>
            </w:r>
          </w:p>
        </w:tc>
        <w:tc>
          <w:tcPr>
            <w:tcW w:w="3516" w:type="dxa"/>
            <w:gridSpan w:val="2"/>
            <w:tcMar/>
          </w:tcPr>
          <w:p w:rsidRPr="0068185E" w:rsidR="003C1C3F" w:rsidP="00F43A5F" w:rsidRDefault="003C1C3F" w14:paraId="49CDA700" w14:textId="0FBFB9D0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615EF5">
              <w:rPr>
                <w:rFonts w:cstheme="minorHAnsi"/>
                <w:b/>
                <w:sz w:val="22"/>
                <w:szCs w:val="22"/>
              </w:rPr>
              <w:t>N/A</w:t>
            </w:r>
          </w:p>
        </w:tc>
      </w:tr>
      <w:tr w:rsidRPr="0068185E" w:rsidR="00017C28" w:rsidTr="685CEB7D" w14:paraId="654BFA1A" w14:textId="37D4D373">
        <w:tc>
          <w:tcPr>
            <w:tcW w:w="2330" w:type="dxa"/>
            <w:tcMar/>
          </w:tcPr>
          <w:p w:rsidRPr="00B56799" w:rsidR="00017C28" w:rsidP="00F43A5F" w:rsidRDefault="00017C28" w14:paraId="1412685A" w14:textId="0AFB69BD">
            <w:pPr>
              <w:spacing w:before="120" w:after="120" w:line="276" w:lineRule="auto"/>
              <w:rPr>
                <w:b w:val="1"/>
                <w:bCs w:val="1"/>
                <w:sz w:val="22"/>
                <w:szCs w:val="22"/>
              </w:rPr>
            </w:pPr>
            <w:r w:rsidRPr="685CEB7D" w:rsidR="00017C28">
              <w:rPr>
                <w:b w:val="1"/>
                <w:bCs w:val="1"/>
                <w:sz w:val="22"/>
                <w:szCs w:val="22"/>
              </w:rPr>
              <w:t>Rev: 02</w:t>
            </w:r>
          </w:p>
        </w:tc>
        <w:tc>
          <w:tcPr>
            <w:tcW w:w="2331" w:type="dxa"/>
            <w:tcMar/>
          </w:tcPr>
          <w:p w:rsidRPr="00102BEB" w:rsidR="00017C28" w:rsidP="773E0AAF" w:rsidRDefault="00017C28" w14:paraId="2EB87D4E" w14:textId="1D05EE81">
            <w:pPr>
              <w:spacing w:before="120" w:after="120" w:line="276" w:lineRule="auto"/>
              <w:rPr>
                <w:sz w:val="22"/>
                <w:szCs w:val="22"/>
              </w:rPr>
            </w:pPr>
            <w:r w:rsidRPr="685CEB7D" w:rsidR="00017C28">
              <w:rPr>
                <w:b w:val="1"/>
                <w:bCs w:val="1"/>
                <w:sz w:val="22"/>
                <w:szCs w:val="22"/>
              </w:rPr>
              <w:t>Date:</w:t>
            </w:r>
            <w:r w:rsidRPr="685CEB7D" w:rsidR="00102BEB">
              <w:rPr>
                <w:b w:val="1"/>
                <w:bCs w:val="1"/>
                <w:sz w:val="22"/>
                <w:szCs w:val="22"/>
              </w:rPr>
              <w:t xml:space="preserve"> 14/8/22</w:t>
            </w:r>
          </w:p>
          <w:p w:rsidRPr="0068185E" w:rsidR="00F43A5F" w:rsidP="00F43A5F" w:rsidRDefault="00F43A5F" w14:paraId="213A08F5" w14:textId="18EF8D5E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31" w:type="dxa"/>
            <w:gridSpan w:val="2"/>
            <w:tcMar/>
          </w:tcPr>
          <w:p w:rsidRPr="0068185E" w:rsidR="00F43A5F" w:rsidP="773E0AAF" w:rsidRDefault="00017C28" w14:paraId="4A7664B0" w14:textId="7DA133CE">
            <w:pPr>
              <w:spacing w:before="120" w:after="120" w:line="276" w:lineRule="auto"/>
              <w:rPr>
                <w:b/>
                <w:bCs/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Author:</w:t>
            </w:r>
            <w:r w:rsidRPr="773E0AAF" w:rsidR="00102BEB">
              <w:rPr>
                <w:b/>
                <w:bCs/>
                <w:sz w:val="22"/>
                <w:szCs w:val="22"/>
              </w:rPr>
              <w:t xml:space="preserve"> Tom Naughton</w:t>
            </w:r>
          </w:p>
        </w:tc>
        <w:tc>
          <w:tcPr>
            <w:tcW w:w="2331" w:type="dxa"/>
            <w:tcMar/>
          </w:tcPr>
          <w:p w:rsidRPr="00B56799" w:rsidR="00F43A5F" w:rsidP="00F43A5F" w:rsidRDefault="00017C28" w14:paraId="7AC0C514" w14:textId="455E685C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  <w:r w:rsidR="00615EF5">
              <w:rPr>
                <w:rFonts w:cstheme="minorHAnsi"/>
                <w:b/>
                <w:sz w:val="22"/>
                <w:szCs w:val="22"/>
              </w:rPr>
              <w:t xml:space="preserve"> Freddie Valletta</w:t>
            </w:r>
          </w:p>
        </w:tc>
      </w:tr>
    </w:tbl>
    <w:p w:rsidRPr="00F96C87" w:rsidR="00A75691" w:rsidP="005F4D59" w:rsidRDefault="00F43A5F" w14:paraId="037C94D1" w14:textId="7D801694">
      <w:pPr>
        <w:pStyle w:val="Heading1"/>
      </w:pPr>
      <w:bookmarkStart w:name="_Toc514342241" w:id="0"/>
      <w:r>
        <w:t>Introduction</w:t>
      </w:r>
      <w:bookmarkEnd w:id="0"/>
    </w:p>
    <w:p w:rsidR="1FB9825D" w:rsidP="1FB9825D" w:rsidRDefault="1FB9825D" w14:paraId="7BFFA7A8" w14:textId="29DEDED5">
      <w:r>
        <w:t xml:space="preserve">In order to ensure a minimum standard for all HIUs that pass the BESA HIU test, a number of minimum pass thresholds are proposed. </w:t>
      </w:r>
    </w:p>
    <w:p w:rsidR="1FB9825D" w:rsidP="1FB9825D" w:rsidRDefault="1FB9825D" w14:paraId="4794A477" w14:textId="32E90A6E">
      <w:r>
        <w:t>A number of the pass thresholds are retained from the previous test. However, based on a request from the BESA HIU Steering Committee, a new performance threshold based on the VWART results of the unit is also proposed.</w:t>
      </w:r>
    </w:p>
    <w:p w:rsidR="00D33C66" w:rsidP="1FB9825D" w:rsidRDefault="00D33C66" w14:paraId="49F9CFA3" w14:textId="07D4EDDB">
      <w:r>
        <w:t>It should be noted that the pass thresholds do not reflect any other compliance test or regime and should not be used for demonstrating compliance with any other guidance or regulations.</w:t>
      </w:r>
    </w:p>
    <w:p w:rsidRPr="002D12B8" w:rsidR="002D12B8" w:rsidP="1FB9825D" w:rsidRDefault="002D12B8" w14:paraId="0623FE18" w14:textId="6F906824">
      <w:pPr>
        <w:rPr>
          <w:rFonts w:cstheme="minorHAnsi"/>
        </w:rPr>
      </w:pPr>
      <w:r w:rsidRPr="002D12B8">
        <w:rPr>
          <w:rFonts w:cstheme="minorHAnsi"/>
        </w:rPr>
        <w:t>The following parameters have pass thresholds:</w:t>
      </w:r>
    </w:p>
    <w:p w:rsidR="002D12B8" w:rsidP="002D12B8" w:rsidRDefault="00EB1E9C" w14:paraId="12F56DE9" w14:textId="18A2A39B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DHW </w:t>
      </w:r>
      <w:r w:rsidR="00492AE5">
        <w:rPr>
          <w:rFonts w:asciiTheme="minorHAnsi" w:hAnsiTheme="minorHAnsi" w:cstheme="minorHAnsi"/>
          <w:sz w:val="22"/>
          <w:szCs w:val="22"/>
        </w:rPr>
        <w:t>maximum temperature</w:t>
      </w:r>
    </w:p>
    <w:p w:rsidR="00EB1E9C" w:rsidP="002D12B8" w:rsidRDefault="00DB6A90" w14:paraId="7D53E83D" w14:textId="7D785F46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DHW scaling temperature</w:t>
      </w:r>
      <w:r w:rsidR="009B37A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661D7" w:rsidP="002D12B8" w:rsidRDefault="00B661D7" w14:paraId="0DEC0654" w14:textId="71001E2F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Keep Warm definition</w:t>
      </w:r>
    </w:p>
    <w:p w:rsidRPr="005B63A5" w:rsidR="005B63A5" w:rsidP="005B63A5" w:rsidRDefault="000957C5" w14:paraId="339DC8C6" w14:textId="6898EEB0">
      <w:pPr>
        <w:pStyle w:val="ListParagraph"/>
        <w:numPr>
          <w:ilvl w:val="0"/>
          <w:numId w:val="5"/>
        </w:num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B661D7">
        <w:rPr>
          <w:rFonts w:asciiTheme="minorHAnsi" w:hAnsiTheme="minorHAnsi" w:cstheme="minorHAnsi"/>
          <w:sz w:val="22"/>
          <w:szCs w:val="22"/>
        </w:rPr>
        <w:t xml:space="preserve">pace heating, DHW, and Keep Warm </w:t>
      </w:r>
      <w:r w:rsidRPr="002D12B8" w:rsidR="00B661D7">
        <w:rPr>
          <w:rFonts w:asciiTheme="minorHAnsi" w:hAnsiTheme="minorHAnsi" w:cstheme="minorHAnsi"/>
          <w:sz w:val="22"/>
          <w:szCs w:val="22"/>
        </w:rPr>
        <w:t>VWART</w:t>
      </w:r>
      <w:r w:rsidR="00B661D7">
        <w:rPr>
          <w:rFonts w:asciiTheme="minorHAnsi" w:hAnsiTheme="minorHAnsi" w:cstheme="minorHAnsi"/>
          <w:sz w:val="22"/>
          <w:szCs w:val="22"/>
        </w:rPr>
        <w:t>s (all tests)</w:t>
      </w:r>
    </w:p>
    <w:p w:rsidR="009B3E55" w:rsidP="009B3E55" w:rsidRDefault="009B3E55" w14:paraId="6852FEDD" w14:textId="43EA570B">
      <w:pPr>
        <w:pStyle w:val="Heading1"/>
      </w:pPr>
      <w:r>
        <w:t xml:space="preserve">DHW </w:t>
      </w:r>
      <w:r w:rsidR="00492AE5">
        <w:t xml:space="preserve">Maximum </w:t>
      </w:r>
      <w:r w:rsidR="00706C7A">
        <w:t xml:space="preserve">Temperature </w:t>
      </w:r>
      <w:r w:rsidR="00D22288">
        <w:t>Pass Threshold</w:t>
      </w:r>
      <w:r w:rsidR="00F643B8">
        <w:t>s</w:t>
      </w:r>
    </w:p>
    <w:p w:rsidR="00D42DF0" w:rsidP="00D42DF0" w:rsidRDefault="00D42DF0" w14:paraId="7BFFBD81" w14:textId="1F25A86F">
      <w:pPr>
        <w:rPr>
          <w:lang w:val="en-GB"/>
        </w:rPr>
      </w:pPr>
      <w:r>
        <w:rPr>
          <w:lang w:val="en-GB"/>
        </w:rPr>
        <w:t>Th</w:t>
      </w:r>
      <w:r w:rsidR="00492AE5">
        <w:rPr>
          <w:lang w:val="en-GB"/>
        </w:rPr>
        <w:t>e</w:t>
      </w:r>
      <w:r w:rsidR="00100D71">
        <w:rPr>
          <w:lang w:val="en-GB"/>
        </w:rPr>
        <w:t xml:space="preserve"> DHW</w:t>
      </w:r>
      <w:r w:rsidR="00492AE5">
        <w:rPr>
          <w:lang w:val="en-GB"/>
        </w:rPr>
        <w:t xml:space="preserve"> maximum</w:t>
      </w:r>
      <w:r w:rsidR="004368FD">
        <w:rPr>
          <w:lang w:val="en-GB"/>
        </w:rPr>
        <w:t xml:space="preserve"> temperature</w:t>
      </w:r>
      <w:r>
        <w:rPr>
          <w:lang w:val="en-GB"/>
        </w:rPr>
        <w:t xml:space="preserve"> pass threshold</w:t>
      </w:r>
      <w:r w:rsidR="00100D71">
        <w:rPr>
          <w:lang w:val="en-GB"/>
        </w:rPr>
        <w:t>s</w:t>
      </w:r>
      <w:r>
        <w:rPr>
          <w:lang w:val="en-GB"/>
        </w:rPr>
        <w:t xml:space="preserve"> relate to</w:t>
      </w:r>
      <w:r w:rsidR="00971B61">
        <w:rPr>
          <w:lang w:val="en-GB"/>
        </w:rPr>
        <w:t xml:space="preserve"> all high temperature DHW</w:t>
      </w:r>
      <w:r>
        <w:rPr>
          <w:lang w:val="en-GB"/>
        </w:rPr>
        <w:t xml:space="preserve"> tests</w:t>
      </w:r>
      <w:r w:rsidR="00EA09D8">
        <w:rPr>
          <w:lang w:val="en-GB"/>
        </w:rPr>
        <w:t xml:space="preserve"> -</w:t>
      </w:r>
      <w:r w:rsidR="00771ED9">
        <w:rPr>
          <w:lang w:val="en-GB"/>
        </w:rPr>
        <w:t xml:space="preserve"> </w:t>
      </w:r>
      <w:r w:rsidR="003521E9">
        <w:rPr>
          <w:lang w:val="en-GB"/>
        </w:rPr>
        <w:t xml:space="preserve">11a, </w:t>
      </w:r>
      <w:r w:rsidR="00706C7A">
        <w:rPr>
          <w:lang w:val="en-GB"/>
        </w:rPr>
        <w:t xml:space="preserve">12a, </w:t>
      </w:r>
      <w:r w:rsidR="009673E0">
        <w:rPr>
          <w:lang w:val="en-GB"/>
        </w:rPr>
        <w:t xml:space="preserve">12c, </w:t>
      </w:r>
      <w:r w:rsidR="00FF1478">
        <w:rPr>
          <w:lang w:val="en-GB"/>
        </w:rPr>
        <w:t xml:space="preserve">13a, </w:t>
      </w:r>
      <w:r w:rsidR="009673E0">
        <w:rPr>
          <w:lang w:val="en-GB"/>
        </w:rPr>
        <w:t>22a</w:t>
      </w:r>
      <w:r w:rsidR="00971B61">
        <w:rPr>
          <w:lang w:val="en-GB"/>
        </w:rPr>
        <w:t>, 31a</w:t>
      </w:r>
      <w:r w:rsidR="00FF1478">
        <w:rPr>
          <w:lang w:val="en-GB"/>
        </w:rPr>
        <w:t>,</w:t>
      </w:r>
      <w:r w:rsidR="00971B61">
        <w:rPr>
          <w:lang w:val="en-GB"/>
        </w:rPr>
        <w:t xml:space="preserve"> and 32a</w:t>
      </w:r>
      <w:r w:rsidR="00100D71">
        <w:rPr>
          <w:lang w:val="en-GB"/>
        </w:rPr>
        <w:t>.</w:t>
      </w:r>
    </w:p>
    <w:p w:rsidR="00100D71" w:rsidP="00D42DF0" w:rsidRDefault="00C550F9" w14:paraId="40DF6BF2" w14:textId="5876B176">
      <w:r w:rsidRPr="3404FEAE" w:rsidR="00C550F9">
        <w:rPr>
          <w:lang w:val="en-GB"/>
        </w:rPr>
        <w:t xml:space="preserve">The pass threshold for all these tests is less </w:t>
      </w:r>
      <w:r w:rsidRPr="3404FEAE" w:rsidR="00FE5FFC">
        <w:rPr>
          <w:lang w:val="en-GB"/>
        </w:rPr>
        <w:t>or equal to 1 second</w:t>
      </w:r>
      <w:r w:rsidRPr="3404FEAE" w:rsidR="00C0781E">
        <w:rPr>
          <w:lang w:val="en-GB"/>
        </w:rPr>
        <w:t xml:space="preserve"> at a temperature</w:t>
      </w:r>
      <w:r w:rsidRPr="3404FEAE" w:rsidR="00041321">
        <w:rPr>
          <w:lang w:val="en-GB"/>
        </w:rPr>
        <w:t xml:space="preserve"> measured at t32</w:t>
      </w:r>
      <w:r w:rsidRPr="3404FEAE" w:rsidR="00C0781E">
        <w:rPr>
          <w:lang w:val="en-GB"/>
        </w:rPr>
        <w:t xml:space="preserve"> of equal </w:t>
      </w:r>
      <w:r w:rsidRPr="3404FEAE" w:rsidR="00041321">
        <w:rPr>
          <w:lang w:val="en-GB"/>
        </w:rPr>
        <w:t xml:space="preserve">to </w:t>
      </w:r>
      <w:r w:rsidRPr="3404FEAE" w:rsidR="00C0781E">
        <w:rPr>
          <w:lang w:val="en-GB"/>
        </w:rPr>
        <w:t>or greater t</w:t>
      </w:r>
      <w:r w:rsidRPr="3404FEAE" w:rsidR="00C0781E">
        <w:rPr>
          <w:lang w:val="en-GB"/>
        </w:rPr>
        <w:t>han 60</w:t>
      </w:r>
      <w:r w:rsidRPr="3404FEAE" w:rsidR="00EF261C">
        <w:rPr>
          <w:lang w:val="en-GB"/>
        </w:rPr>
        <w:t xml:space="preserve"> </w:t>
      </w:r>
      <w:r w:rsidR="00EF261C">
        <w:rPr/>
        <w:t>°C</w:t>
      </w:r>
      <w:r w:rsidR="00EF261C">
        <w:rPr/>
        <w:t>.</w:t>
      </w:r>
      <w:r w:rsidR="00B32B04">
        <w:rPr/>
        <w:t xml:space="preserve"> For clarity, </w:t>
      </w:r>
      <w:r w:rsidR="00041321">
        <w:rPr/>
        <w:t xml:space="preserve">a </w:t>
      </w:r>
      <w:r w:rsidR="00B32B04">
        <w:rPr/>
        <w:t xml:space="preserve">unit will have deemed to have failed if a temperature of over 60 °C </w:t>
      </w:r>
      <w:r w:rsidR="00041321">
        <w:rPr/>
        <w:t>measured at t32 is record</w:t>
      </w:r>
      <w:r w:rsidR="00041321">
        <w:rPr/>
        <w:t xml:space="preserve">ed for </w:t>
      </w:r>
      <w:r w:rsidR="00FE5FFC">
        <w:rPr/>
        <w:t>more than 1 second.</w:t>
      </w:r>
    </w:p>
    <w:p w:rsidR="00EF261C" w:rsidP="00D42DF0" w:rsidRDefault="00EF261C" w14:paraId="311AF7D1" w14:textId="47DD18DE">
      <w:r>
        <w:t>The technical justification</w:t>
      </w:r>
      <w:r w:rsidR="00EA09D8">
        <w:t>s</w:t>
      </w:r>
      <w:r>
        <w:t xml:space="preserve"> for these pass thresholds </w:t>
      </w:r>
      <w:r w:rsidR="00EA09D8">
        <w:t>are</w:t>
      </w:r>
      <w:r>
        <w:t xml:space="preserve"> detailed and presented in Technical Note 8 </w:t>
      </w:r>
      <w:r w:rsidR="00750E0C">
        <w:t>(</w:t>
      </w:r>
      <w:r w:rsidR="00934B80">
        <w:t>TN_BESA_HIU_008_Assumption_27&amp;28_DynamicDHWtest-PassFailCriteriaScaldingLimits_WE_Rev2_01</w:t>
      </w:r>
      <w:r w:rsidR="00750E0C">
        <w:t>)</w:t>
      </w:r>
      <w:r w:rsidR="00B32B04">
        <w:t>.</w:t>
      </w:r>
    </w:p>
    <w:p w:rsidR="00EA09D8" w:rsidP="00EA09D8" w:rsidRDefault="00EA09D8" w14:paraId="3F258A3E" w14:textId="1B782A59">
      <w:pPr>
        <w:pStyle w:val="Heading1"/>
      </w:pPr>
      <w:r>
        <w:t>DHW Scaling Temperature Pass Thresholds</w:t>
      </w:r>
    </w:p>
    <w:p w:rsidR="00FF1478" w:rsidP="009B37A5" w:rsidRDefault="009B37A5" w14:paraId="48C5D550" w14:textId="77777777">
      <w:pPr>
        <w:rPr>
          <w:lang w:val="en-GB"/>
        </w:rPr>
      </w:pPr>
      <w:r>
        <w:rPr>
          <w:lang w:val="en-GB"/>
        </w:rPr>
        <w:t>The</w:t>
      </w:r>
      <w:r w:rsidR="00FF1478">
        <w:rPr>
          <w:lang w:val="en-GB"/>
        </w:rPr>
        <w:t>re are two</w:t>
      </w:r>
      <w:r>
        <w:rPr>
          <w:lang w:val="en-GB"/>
        </w:rPr>
        <w:t xml:space="preserve"> DHW scaling temperature pass threshold</w:t>
      </w:r>
      <w:r w:rsidR="00FF1478">
        <w:rPr>
          <w:lang w:val="en-GB"/>
        </w:rPr>
        <w:t xml:space="preserve">s. </w:t>
      </w:r>
    </w:p>
    <w:p w:rsidR="00B873F7" w:rsidP="3404FEAE" w:rsidRDefault="00FF1478" w14:paraId="714B580E" w14:textId="76E50BEF">
      <w:pPr>
        <w:rPr>
          <w:lang w:val="en-GB"/>
        </w:rPr>
      </w:pPr>
      <w:r w:rsidRPr="3404FEAE" w:rsidR="00FF1478">
        <w:rPr>
          <w:lang w:val="en-GB"/>
        </w:rPr>
        <w:t>The first relates to the dynamic DHW tests</w:t>
      </w:r>
      <w:r w:rsidRPr="3404FEAE" w:rsidR="00B873F7">
        <w:rPr>
          <w:lang w:val="en-GB"/>
        </w:rPr>
        <w:t xml:space="preserve"> </w:t>
      </w:r>
      <w:r w:rsidRPr="3404FEAE" w:rsidR="00FF1478">
        <w:rPr>
          <w:lang w:val="en-GB"/>
        </w:rPr>
        <w:t>1</w:t>
      </w:r>
      <w:r w:rsidRPr="3404FEAE" w:rsidR="00B873F7">
        <w:rPr>
          <w:lang w:val="en-GB"/>
        </w:rPr>
        <w:t>1a</w:t>
      </w:r>
      <w:r w:rsidRPr="3404FEAE" w:rsidR="00FF1478">
        <w:rPr>
          <w:lang w:val="en-GB"/>
        </w:rPr>
        <w:t>, 12a, 12c, 13a, 22a, 31a, 32a</w:t>
      </w:r>
      <w:r w:rsidRPr="3404FEAE" w:rsidR="00B873F7">
        <w:rPr>
          <w:lang w:val="en-GB"/>
        </w:rPr>
        <w:t>.</w:t>
      </w:r>
      <w:r w:rsidRPr="3404FEAE" w:rsidR="00FF1478">
        <w:rPr>
          <w:lang w:val="en-GB"/>
        </w:rPr>
        <w:t xml:space="preserve"> </w:t>
      </w:r>
      <w:r w:rsidRPr="3404FEAE" w:rsidR="00B873F7">
        <w:rPr>
          <w:lang w:val="en-GB"/>
        </w:rPr>
        <w:t>The pass threshold for th</w:t>
      </w:r>
      <w:r w:rsidRPr="3404FEAE" w:rsidR="00FF1478">
        <w:rPr>
          <w:lang w:val="en-GB"/>
        </w:rPr>
        <w:t>ese</w:t>
      </w:r>
      <w:r w:rsidRPr="3404FEAE" w:rsidR="00B873F7">
        <w:rPr>
          <w:lang w:val="en-GB"/>
        </w:rPr>
        <w:t xml:space="preserve"> test</w:t>
      </w:r>
      <w:r w:rsidRPr="3404FEAE" w:rsidR="00FF1478">
        <w:rPr>
          <w:lang w:val="en-GB"/>
        </w:rPr>
        <w:t>s</w:t>
      </w:r>
      <w:r w:rsidRPr="3404FEAE" w:rsidR="00B873F7">
        <w:rPr>
          <w:lang w:val="en-GB"/>
        </w:rPr>
        <w:t xml:space="preserve"> is that the temperature measured at t12, does</w:t>
      </w:r>
      <w:r w:rsidRPr="3404FEAE" w:rsidR="00B873F7">
        <w:rPr>
          <w:lang w:val="en-GB"/>
        </w:rPr>
        <w:t xml:space="preserve">n’t exceed </w:t>
      </w:r>
      <w:r w:rsidRPr="3404FEAE" w:rsidR="008822B1">
        <w:rPr>
          <w:lang w:val="en-GB"/>
        </w:rPr>
        <w:t xml:space="preserve">55 </w:t>
      </w:r>
      <w:r w:rsidRPr="3404FEAE" w:rsidR="00B873F7">
        <w:rPr>
          <w:lang w:val="en-GB"/>
        </w:rPr>
        <w:t>°C</w:t>
      </w:r>
      <w:r w:rsidRPr="3404FEAE" w:rsidR="008822B1">
        <w:rPr>
          <w:lang w:val="en-GB"/>
        </w:rPr>
        <w:t xml:space="preserve"> for more than 5 seconds </w:t>
      </w:r>
      <w:r w:rsidRPr="3404FEAE" w:rsidR="00FF1478">
        <w:rPr>
          <w:lang w:val="en-GB"/>
        </w:rPr>
        <w:t>during the test</w:t>
      </w:r>
      <w:r w:rsidRPr="3404FEAE" w:rsidR="008822B1">
        <w:rPr>
          <w:lang w:val="en-GB"/>
        </w:rPr>
        <w:t>s</w:t>
      </w:r>
      <w:r w:rsidRPr="3404FEAE" w:rsidR="00FF1478">
        <w:rPr>
          <w:lang w:val="en-GB"/>
        </w:rPr>
        <w:t>.</w:t>
      </w:r>
    </w:p>
    <w:p w:rsidR="00FF1478" w:rsidP="3404FEAE" w:rsidRDefault="00FF1478" w14:paraId="31138423" w14:textId="4CBBD71A">
      <w:pPr>
        <w:rPr>
          <w:lang w:val="en-GB"/>
        </w:rPr>
      </w:pPr>
      <w:r w:rsidRPr="3404FEAE" w:rsidR="00FF1478">
        <w:rPr>
          <w:lang w:val="en-GB"/>
        </w:rPr>
        <w:t xml:space="preserve">The second relates to the Keep Warm </w:t>
      </w:r>
      <w:r w:rsidRPr="3404FEAE" w:rsidR="00FF1478">
        <w:rPr>
          <w:lang w:val="en-GB"/>
        </w:rPr>
        <w:t xml:space="preserve">test </w:t>
      </w:r>
      <w:r w:rsidRPr="3404FEAE" w:rsidR="008822B1">
        <w:rPr>
          <w:lang w:val="en-GB"/>
        </w:rPr>
        <w:t>21a</w:t>
      </w:r>
      <w:r w:rsidRPr="3404FEAE" w:rsidR="00FF1478">
        <w:rPr>
          <w:lang w:val="en-GB"/>
        </w:rPr>
        <w:t xml:space="preserve">. The pass threshold for these tests is that the temperature measured at t12, doesn’t exceed </w:t>
      </w:r>
      <w:r w:rsidRPr="3404FEAE" w:rsidR="008822B1">
        <w:rPr>
          <w:lang w:val="en-GB"/>
        </w:rPr>
        <w:t xml:space="preserve">55 </w:t>
      </w:r>
      <w:r w:rsidRPr="3404FEAE" w:rsidR="00FF1478">
        <w:rPr>
          <w:lang w:val="en-GB"/>
        </w:rPr>
        <w:t>°C at any point during the test.</w:t>
      </w:r>
    </w:p>
    <w:p w:rsidR="00B873F7" w:rsidP="009B37A5" w:rsidRDefault="00B873F7" w14:paraId="686D2102" w14:textId="544C5ABB">
      <w:r w:rsidR="00B873F7">
        <w:rPr/>
        <w:t>The technical justifications for these pass thresholds are detailed and p</w:t>
      </w:r>
      <w:r w:rsidR="00B873F7">
        <w:rPr/>
        <w:t>resented in Technical Note 29 (TN_BESA_HIU_029_Assumption_68_ScalingAssessment_DM_Rev1_03).</w:t>
      </w:r>
    </w:p>
    <w:p w:rsidR="3404FEAE" w:rsidP="3404FEAE" w:rsidRDefault="3404FEAE" w14:paraId="12FF4DF4" w14:textId="0331D0B6">
      <w:pPr>
        <w:pStyle w:val="Heading1"/>
        <w:rPr/>
      </w:pPr>
      <w:r w:rsidR="3404FEAE">
        <w:rPr/>
        <w:t>DHW response time test</w:t>
      </w:r>
    </w:p>
    <w:p w:rsidR="00B661D7" w:rsidP="3404FEAE" w:rsidRDefault="00B661D7" w14:paraId="3A74D711" w14:textId="2515EFC1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  <w:rPr>
          <w:lang w:val="en-GB"/>
        </w:rPr>
      </w:pPr>
      <w:r w:rsidRPr="3404FEAE" w:rsidR="00B661D7">
        <w:rPr>
          <w:lang w:val="en-GB"/>
        </w:rPr>
        <w:t xml:space="preserve">The DHW response time pass threshold relates to the </w:t>
      </w:r>
      <w:r w:rsidRPr="3404FEAE" w:rsidR="006D3AC1">
        <w:rPr>
          <w:lang w:val="en-GB"/>
        </w:rPr>
        <w:t xml:space="preserve">Keep Warm </w:t>
      </w:r>
      <w:r w:rsidRPr="3404FEAE" w:rsidR="00B661D7">
        <w:rPr>
          <w:lang w:val="en-GB"/>
        </w:rPr>
        <w:t xml:space="preserve">DHW response time tests </w:t>
      </w:r>
      <w:r w:rsidRPr="3404FEAE" w:rsidR="006D3AC1">
        <w:rPr>
          <w:lang w:val="en-GB"/>
        </w:rPr>
        <w:t>–</w:t>
      </w:r>
      <w:r w:rsidRPr="3404FEAE" w:rsidR="00B661D7">
        <w:rPr>
          <w:lang w:val="en-GB"/>
        </w:rPr>
        <w:t xml:space="preserve"> </w:t>
      </w:r>
      <w:r w:rsidRPr="3404FEAE" w:rsidR="006D3AC1">
        <w:rPr>
          <w:lang w:val="en-GB"/>
        </w:rPr>
        <w:t>22a, 22b, 32a and 32b.</w:t>
      </w:r>
    </w:p>
    <w:p w:rsidR="00D10EF9" w:rsidP="685CEB7D" w:rsidRDefault="00D10EF9" w14:paraId="1D5D6941" w14:textId="654F1C34">
      <w:pPr>
        <w:pStyle w:val="Normal"/>
        <w:rPr>
          <w:lang w:val="en-GB"/>
        </w:rPr>
      </w:pPr>
      <w:r w:rsidRPr="3404FEAE" w:rsidR="00D10EF9">
        <w:rPr>
          <w:lang w:val="en-GB"/>
        </w:rPr>
        <w:t>The HIU must</w:t>
      </w:r>
      <w:r w:rsidRPr="3404FEAE" w:rsidR="00B661D7">
        <w:rPr>
          <w:lang w:val="en-GB"/>
        </w:rPr>
        <w:t xml:space="preserve"> be able to provide DHW at 45 </w:t>
      </w:r>
      <w:r w:rsidRPr="3404FEAE" w:rsidR="00FF1478">
        <w:rPr>
          <w:lang w:val="en-GB"/>
        </w:rPr>
        <w:t>°C</w:t>
      </w:r>
      <w:r w:rsidRPr="3404FEAE" w:rsidR="00B661D7">
        <w:rPr>
          <w:lang w:val="en-GB"/>
        </w:rPr>
        <w:t xml:space="preserve"> t32 within (equal or less than) 15 seconds.</w:t>
      </w:r>
    </w:p>
    <w:p w:rsidR="002760B4" w:rsidP="002760B4" w:rsidRDefault="002760B4" w14:paraId="23E920A3" w14:textId="7E78B3AB">
      <w:r>
        <w:t xml:space="preserve">The technical justifications for these pass thresholds are detailed and presented in Technical Note </w:t>
      </w:r>
      <w:r w:rsidR="00713D78">
        <w:t>19</w:t>
      </w:r>
      <w:r>
        <w:t xml:space="preserve"> (</w:t>
      </w:r>
      <w:r w:rsidRPr="00713D78" w:rsidR="00713D78">
        <w:t>TN_BESA_HIU_019_Assumption_44_PerformanceRequirementsOfKWF_GJ_Rev1_02</w:t>
      </w:r>
      <w:r>
        <w:t>).</w:t>
      </w:r>
    </w:p>
    <w:p w:rsidR="1FB9825D" w:rsidP="009B3E55" w:rsidRDefault="009B3E55" w14:paraId="7BCA3E8F" w14:textId="326B2A8E">
      <w:pPr>
        <w:pStyle w:val="Heading1"/>
        <w:rPr/>
      </w:pPr>
      <w:r w:rsidR="009B3E55">
        <w:rPr/>
        <w:t>VWART Pass Threshold</w:t>
      </w:r>
      <w:r w:rsidR="00D10EF9">
        <w:rPr/>
        <w:t>s</w:t>
      </w:r>
    </w:p>
    <w:p w:rsidRPr="007816E4" w:rsidR="007816E4" w:rsidP="009B3E55" w:rsidRDefault="00F96C87" w14:paraId="3BB2C840" w14:textId="30619BD8">
      <w:pPr>
        <w:pStyle w:val="Heading2"/>
        <w:rPr/>
      </w:pPr>
      <w:r w:rsidR="00F96C87">
        <w:rPr/>
        <w:t>Analysis</w:t>
      </w:r>
    </w:p>
    <w:p w:rsidRPr="00D10EF9" w:rsidR="007B0853" w:rsidP="773E0AAF" w:rsidRDefault="00AA1757" w14:paraId="70358132" w14:textId="58D2DC09">
      <w:pPr>
        <w:jc w:val="both"/>
        <w:rPr>
          <w:rFonts w:ascii="Calibri" w:hAnsi="Calibri" w:eastAsia="Calibri" w:cs="Calibri"/>
          <w:color w:val="000000" w:themeColor="text1"/>
        </w:rPr>
      </w:pPr>
      <w:r w:rsidRPr="00D10EF9">
        <w:rPr>
          <w:rFonts w:ascii="Calibri" w:hAnsi="Calibri" w:eastAsia="Calibri" w:cs="Calibri"/>
          <w:color w:val="000000" w:themeColor="text1"/>
        </w:rPr>
        <w:t xml:space="preserve">In order to determine the </w:t>
      </w:r>
      <w:r w:rsidRPr="00D10EF9" w:rsidR="00A309BB">
        <w:rPr>
          <w:rFonts w:ascii="Calibri" w:hAnsi="Calibri" w:eastAsia="Calibri" w:cs="Calibri"/>
          <w:color w:val="000000" w:themeColor="text1"/>
        </w:rPr>
        <w:t>suitable pass VWART thresholds for the new test, analysis was carried out on the 29 HIU tests carried out since 2018</w:t>
      </w:r>
      <w:r w:rsidRPr="00D10EF9" w:rsidR="007B0853">
        <w:rPr>
          <w:rFonts w:ascii="Calibri" w:hAnsi="Calibri" w:eastAsia="Calibri" w:cs="Calibri"/>
          <w:color w:val="000000" w:themeColor="text1"/>
        </w:rPr>
        <w:t>.</w:t>
      </w:r>
    </w:p>
    <w:p w:rsidR="00656077" w:rsidP="00656077" w:rsidRDefault="00DF2CD2" w14:paraId="3BA2DC7F" w14:textId="5B88B3E2">
      <w:pPr>
        <w:keepNext/>
        <w:jc w:val="both"/>
      </w:pPr>
      <w:r>
        <w:rPr>
          <w:noProof/>
        </w:rPr>
        <mc:AlternateContent>
          <mc:Choice Requires="cx1">
            <w:drawing>
              <wp:inline distT="0" distB="0" distL="0" distR="0" wp14:anchorId="5DF02B09" wp14:editId="4322E3C2">
                <wp:extent cx="5926455" cy="3032125"/>
                <wp:effectExtent l="0" t="0" r="17145" b="15875"/>
                <wp:docPr id="4" name="Chart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ED0C7-0B71-4251-9F80-AAA26D2042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2"/>
                  </a:graphicData>
                </a:graphic>
              </wp:inline>
            </w:drawing>
          </mc:Choice>
          <mc:Fallback xmlns:arto="http://schemas.microsoft.com/office/word/2006/arto">
            <w:drawing>
              <wp:inline distT="0" distB="0" distL="0" distR="0" wp14:anchorId="6C2D56BD" wp14:editId="4322E3C2">
                <wp:extent cx="5926455" cy="3032125"/>
                <wp:effectExtent l="0" t="0" r="17145" b="15875"/>
                <wp:docPr id="2123608429" name="Chart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ED0C7-0B71-4251-9F80-AAA26D204278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Chart 4">
                          <a:extLst>
                            <a:ext uri="{FF2B5EF4-FFF2-40B4-BE49-F238E27FC236}">
                              <a16:creationId xmlns:a16="http://schemas.microsoft.com/office/drawing/2014/main" id="{D49ED0C7-0B71-4251-9F80-AAA26D204278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6455" cy="3032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:rsidRPr="00872A91" w:rsidR="00BC763E" w:rsidP="00872A91" w:rsidRDefault="00656077" w14:paraId="29DE983F" w14:textId="775A01AA">
      <w:pPr>
        <w:pStyle w:val="Caption"/>
      </w:pPr>
      <w:bookmarkStart w:name="_Ref95657153" w:id="1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1</w:t>
      </w:r>
      <w:r>
        <w:fldChar w:fldCharType="end"/>
      </w:r>
      <w:bookmarkEnd w:id="1"/>
      <w:r w:rsidRPr="00872A91">
        <w:t xml:space="preserve"> Overall, DHW, space heating, and </w:t>
      </w:r>
      <w:r w:rsidR="00B873F7">
        <w:t>Keep Warm</w:t>
      </w:r>
      <w:r w:rsidRPr="00872A91">
        <w:t xml:space="preserve"> VWART results for the 29 high temperature tests</w:t>
      </w:r>
    </w:p>
    <w:p w:rsidR="009528B5" w:rsidP="009528B5" w:rsidRDefault="009528B5" w14:paraId="148C37A3" w14:textId="3050AEC0">
      <w:r>
        <w:fldChar w:fldCharType="begin"/>
      </w:r>
      <w:r>
        <w:instrText xml:space="preserve"> REF _Ref95657153 \h </w:instrText>
      </w:r>
      <w:r>
        <w:fldChar w:fldCharType="separate"/>
      </w:r>
      <w:r w:rsidRPr="00872A91" w:rsidR="00BA30DA">
        <w:t xml:space="preserve">Figure </w:t>
      </w:r>
      <w:r w:rsidR="00BA30DA">
        <w:rPr>
          <w:noProof/>
        </w:rPr>
        <w:t>1</w:t>
      </w:r>
      <w:r>
        <w:fldChar w:fldCharType="end"/>
      </w:r>
      <w:r>
        <w:t xml:space="preserve"> above shows the </w:t>
      </w:r>
      <w:r w:rsidR="00597041">
        <w:t xml:space="preserve">highest, lowest, 25% percentile, 75% percentile and mean VWART for the </w:t>
      </w:r>
      <w:r w:rsidR="0090020B">
        <w:t xml:space="preserve">overall, DHW, space heating, and </w:t>
      </w:r>
      <w:r w:rsidR="00B873F7">
        <w:t>Keep Warm</w:t>
      </w:r>
      <w:r w:rsidR="0090020B">
        <w:t xml:space="preserve"> tests. It can be seen that there is a significant variation between all tests</w:t>
      </w:r>
    </w:p>
    <w:p w:rsidR="00730640" w:rsidP="00730640" w:rsidRDefault="009528B5" w14:paraId="75825356" w14:textId="77777777">
      <w:pPr>
        <w:keepNext/>
      </w:pPr>
      <w:r>
        <w:rPr>
          <w:noProof/>
        </w:rPr>
        <mc:AlternateContent>
          <mc:Choice Requires="cx1">
            <w:drawing>
              <wp:inline distT="0" distB="0" distL="0" distR="0" wp14:anchorId="46EA8FAA" wp14:editId="5ECA1F54">
                <wp:extent cx="5926455" cy="3536950"/>
                <wp:effectExtent l="0" t="0" r="17145" b="6350"/>
                <wp:docPr id="5" name="Chart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6D438-F6DF-4AEF-B0B3-C5CAF0546C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4"/>
                  </a:graphicData>
                </a:graphic>
              </wp:inline>
            </w:drawing>
          </mc:Choice>
          <mc:Fallback xmlns:arto="http://schemas.microsoft.com/office/word/2006/arto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5F388E34" wp14:editId="5ECA1F54">
                <wp:extent cx="5926455" cy="3536950"/>
                <wp:effectExtent l="0" t="0" r="17145" b="6350"/>
                <wp:docPr id="270960253" name="Chart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6D438-F6DF-4AEF-B0B3-C5CAF0546CCA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 xmlns:mc="http://schemas.openxmlformats.org/markup-compatibility/2006">
                      <pic:nvPicPr>
                        <pic:cNvPr id="5" name="Chart 5">
                          <a:extLst>
                            <a:ext uri="{FF2B5EF4-FFF2-40B4-BE49-F238E27FC236}">
                              <a16:creationId xmlns:a16="http://schemas.microsoft.com/office/drawing/2014/main" id="{2B56D438-F6DF-4AEF-B0B3-C5CAF0546CCA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xmlns:r="http://schemas.openxmlformats.org/officeDocument/2006/relationships"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6455" cy="3536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:rsidRPr="00872A91" w:rsidR="009528B5" w:rsidP="00872A91" w:rsidRDefault="00730640" w14:paraId="22C8ADA3" w14:textId="781E8DA6">
      <w:pPr>
        <w:pStyle w:val="Caption"/>
      </w:pPr>
      <w:bookmarkStart w:name="_Ref95657311" w:id="2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2</w:t>
      </w:r>
      <w:r>
        <w:fldChar w:fldCharType="end"/>
      </w:r>
      <w:bookmarkEnd w:id="2"/>
      <w:r w:rsidRPr="00872A91">
        <w:t xml:space="preserve"> Overall, DHW, space heating, and </w:t>
      </w:r>
      <w:r w:rsidR="00B873F7">
        <w:t>Keep Warm</w:t>
      </w:r>
      <w:r w:rsidRPr="00872A91">
        <w:t xml:space="preserve"> VWART results for the 29 low temperature tests</w:t>
      </w:r>
    </w:p>
    <w:p w:rsidR="001C6C36" w:rsidP="001C6C36" w:rsidRDefault="001C6C36" w14:paraId="67A80DEA" w14:textId="28072171">
      <w:r>
        <w:t xml:space="preserve">As with the high temperature tests, it can be seen in </w:t>
      </w:r>
      <w:r>
        <w:fldChar w:fldCharType="begin"/>
      </w:r>
      <w:r>
        <w:instrText xml:space="preserve"> REF _Ref95657311 \h </w:instrText>
      </w:r>
      <w:r>
        <w:fldChar w:fldCharType="separate"/>
      </w:r>
      <w:r w:rsidRPr="00872A91" w:rsidR="00BA30DA">
        <w:t xml:space="preserve">Figure </w:t>
      </w:r>
      <w:r w:rsidR="00BA30DA">
        <w:rPr>
          <w:noProof/>
        </w:rPr>
        <w:t>2</w:t>
      </w:r>
      <w:r>
        <w:fldChar w:fldCharType="end"/>
      </w:r>
      <w:r>
        <w:t xml:space="preserve"> that there is a significant variation in all four VWART reported values in the low temperature tests.</w:t>
      </w:r>
    </w:p>
    <w:p w:rsidRPr="005F4D59" w:rsidR="00D36C91" w:rsidP="009B3E55" w:rsidRDefault="001C6C36" w14:paraId="6FD51829" w14:textId="1334BBD0">
      <w:pPr>
        <w:pStyle w:val="Heading2"/>
        <w:rPr/>
      </w:pPr>
      <w:r w:rsidR="001C6C36">
        <w:rPr/>
        <w:t>Initial proposed VWART pass threshold values</w:t>
      </w:r>
    </w:p>
    <w:p w:rsidRPr="00D36C91" w:rsidR="004F6EEC" w:rsidP="004F6EEC" w:rsidRDefault="004F6EEC" w14:paraId="4BC7230C" w14:textId="0495D08E">
      <w:pPr>
        <w:pStyle w:val="Heading1"/>
        <w:numPr>
          <w:ilvl w:val="0"/>
          <w:numId w:val="0"/>
        </w:numPr>
        <w:ind w:left="360" w:hanging="360"/>
        <w:rPr>
          <w:rFonts w:cstheme="minorHAnsi"/>
          <w:b w:val="0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>High temperature test</w:t>
      </w:r>
    </w:p>
    <w:p w:rsidRPr="0016329C" w:rsidR="0016329C" w:rsidP="0016329C" w:rsidRDefault="002A5C83" w14:paraId="76ACEEC1" w14:textId="48CD70B5">
      <w:pPr>
        <w:rPr>
          <w:lang w:val="en-GB"/>
        </w:rPr>
      </w:pPr>
      <w:r>
        <w:rPr>
          <w:lang w:val="en-GB"/>
        </w:rPr>
        <w:t xml:space="preserve">Based on the analysis, the following VWART pass thresholds were </w:t>
      </w:r>
      <w:r w:rsidR="008A35D0">
        <w:rPr>
          <w:lang w:val="en-GB"/>
        </w:rPr>
        <w:t xml:space="preserve">initially </w:t>
      </w:r>
      <w:r>
        <w:rPr>
          <w:lang w:val="en-GB"/>
        </w:rPr>
        <w:t>proposed for the high temperature tests.</w:t>
      </w:r>
      <w:r w:rsidR="00D87274">
        <w:rPr>
          <w:lang w:val="en-GB"/>
        </w:rPr>
        <w:t xml:space="preserve"> It should be noted that an HIU is considered to have failed the test if it fails any one of the four VWART results.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21"/>
        <w:gridCol w:w="1704"/>
        <w:gridCol w:w="1276"/>
        <w:gridCol w:w="4650"/>
      </w:tblGrid>
      <w:tr w:rsidR="0054224D" w:rsidTr="00317943" w14:paraId="4BF2B535" w14:textId="77777777">
        <w:tc>
          <w:tcPr>
            <w:tcW w:w="1721" w:type="dxa"/>
            <w:shd w:val="clear" w:color="auto" w:fill="4F81BD" w:themeFill="accent1"/>
          </w:tcPr>
          <w:p w:rsidR="0054224D" w:rsidP="001C6C36" w:rsidRDefault="00EE1E4F" w14:paraId="343FF0E7" w14:textId="16239819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:rsidR="0054224D" w:rsidP="002B25C9" w:rsidRDefault="00EE1E4F" w14:paraId="1409A2E4" w14:textId="5399E0B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</w:t>
            </w:r>
            <w:r w:rsidR="00FC3C46">
              <w:rPr>
                <w:lang w:val="en-GB"/>
              </w:rPr>
              <w:t>=</w:t>
            </w:r>
            <w:r w:rsidRPr="00FC3C46" w:rsidR="00FC3C46">
              <w:t>°C</w:t>
            </w:r>
            <w:r w:rsidR="00FC3C46">
              <w:t>)</w:t>
            </w:r>
          </w:p>
        </w:tc>
        <w:tc>
          <w:tcPr>
            <w:tcW w:w="1276" w:type="dxa"/>
            <w:shd w:val="clear" w:color="auto" w:fill="4F81BD" w:themeFill="accent1"/>
          </w:tcPr>
          <w:p w:rsidR="0054224D" w:rsidP="002B25C9" w:rsidRDefault="00FC3C46" w14:paraId="50BAB78E" w14:textId="33351AB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 failed</w:t>
            </w:r>
          </w:p>
        </w:tc>
        <w:tc>
          <w:tcPr>
            <w:tcW w:w="4650" w:type="dxa"/>
            <w:shd w:val="clear" w:color="auto" w:fill="4F81BD" w:themeFill="accent1"/>
          </w:tcPr>
          <w:p w:rsidR="0054224D" w:rsidP="001C6C36" w:rsidRDefault="00FC3C46" w14:paraId="26209B4E" w14:textId="15D2846A">
            <w:pPr>
              <w:rPr>
                <w:lang w:val="en-GB"/>
              </w:rPr>
            </w:pPr>
            <w:r>
              <w:rPr>
                <w:lang w:val="en-GB"/>
              </w:rPr>
              <w:t>Comment</w:t>
            </w:r>
          </w:p>
        </w:tc>
      </w:tr>
      <w:tr w:rsidR="0054224D" w:rsidTr="00152F81" w14:paraId="4E849CA6" w14:textId="77777777">
        <w:tc>
          <w:tcPr>
            <w:tcW w:w="1721" w:type="dxa"/>
          </w:tcPr>
          <w:p w:rsidR="0054224D" w:rsidP="001C6C36" w:rsidRDefault="00FC3C46" w14:paraId="391EA319" w14:textId="550D895B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:rsidR="0054224D" w:rsidP="002B25C9" w:rsidRDefault="002B25C9" w14:paraId="6763BEAF" w14:textId="0B44860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276" w:type="dxa"/>
          </w:tcPr>
          <w:p w:rsidR="0054224D" w:rsidP="002B25C9" w:rsidRDefault="007873FA" w14:paraId="78974026" w14:textId="10B891E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650" w:type="dxa"/>
          </w:tcPr>
          <w:p w:rsidR="0054224D" w:rsidP="001C6C36" w:rsidRDefault="0054224D" w14:paraId="5D84E651" w14:textId="77777777">
            <w:pPr>
              <w:rPr>
                <w:lang w:val="en-GB"/>
              </w:rPr>
            </w:pPr>
          </w:p>
        </w:tc>
      </w:tr>
      <w:tr w:rsidR="0054224D" w:rsidTr="00152F81" w14:paraId="6D3B8C41" w14:textId="77777777">
        <w:tc>
          <w:tcPr>
            <w:tcW w:w="1721" w:type="dxa"/>
          </w:tcPr>
          <w:p w:rsidR="0054224D" w:rsidP="001C6C36" w:rsidRDefault="00FC3C46" w14:paraId="507A635F" w14:textId="3E6F4546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:rsidR="0054224D" w:rsidP="002B25C9" w:rsidRDefault="002B25C9" w14:paraId="02430FE7" w14:textId="4D0EE76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276" w:type="dxa"/>
          </w:tcPr>
          <w:p w:rsidR="0054224D" w:rsidP="002B25C9" w:rsidRDefault="007873FA" w14:paraId="61C5C2F8" w14:textId="13C3130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50" w:type="dxa"/>
          </w:tcPr>
          <w:p w:rsidR="0054224D" w:rsidP="001C6C36" w:rsidRDefault="00152F81" w14:paraId="7AD58AD2" w14:textId="57B6F238">
            <w:pPr>
              <w:rPr>
                <w:lang w:val="en-GB"/>
              </w:rPr>
            </w:pPr>
            <w:r>
              <w:rPr>
                <w:lang w:val="en-GB"/>
              </w:rPr>
              <w:t>As per CP1 guidance</w:t>
            </w:r>
          </w:p>
        </w:tc>
      </w:tr>
      <w:tr w:rsidR="0054224D" w:rsidTr="00152F81" w14:paraId="10AA0301" w14:textId="77777777">
        <w:tc>
          <w:tcPr>
            <w:tcW w:w="1721" w:type="dxa"/>
          </w:tcPr>
          <w:p w:rsidR="0054224D" w:rsidP="001C6C36" w:rsidRDefault="00B873F7" w14:paraId="20807E18" w14:textId="67BA98AB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:rsidR="0054224D" w:rsidP="002B25C9" w:rsidRDefault="002B25C9" w14:paraId="7C722885" w14:textId="2180486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1276" w:type="dxa"/>
          </w:tcPr>
          <w:p w:rsidR="0054224D" w:rsidP="002B25C9" w:rsidRDefault="007873FA" w14:paraId="4289734C" w14:textId="3DBDDCE5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650" w:type="dxa"/>
          </w:tcPr>
          <w:p w:rsidR="0054224D" w:rsidP="001C6C36" w:rsidRDefault="0054224D" w14:paraId="2E19038D" w14:textId="7822E50D">
            <w:pPr>
              <w:rPr>
                <w:lang w:val="en-GB"/>
              </w:rPr>
            </w:pPr>
          </w:p>
        </w:tc>
      </w:tr>
    </w:tbl>
    <w:p w:rsidR="000748F2" w:rsidP="00872A91" w:rsidRDefault="0016329C" w14:paraId="20D2ABE4" w14:textId="38A77BDA">
      <w:pPr>
        <w:pStyle w:val="Caption"/>
      </w:pPr>
      <w:bookmarkStart w:name="_Ref95657939" w:id="3"/>
      <w:r w:rsidRPr="0016329C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1</w:t>
      </w:r>
      <w:r>
        <w:fldChar w:fldCharType="end"/>
      </w:r>
      <w:bookmarkEnd w:id="3"/>
      <w:r w:rsidRPr="0016329C">
        <w:t xml:space="preserve"> Initial proposed VWART thresholds for high temperature test based on current temperature regime</w:t>
      </w:r>
    </w:p>
    <w:p w:rsidR="002844BF" w:rsidP="001C6C36" w:rsidRDefault="002844BF" w14:paraId="4B6DF9CF" w14:textId="7F9A38A3">
      <w:pPr>
        <w:rPr>
          <w:sz w:val="24"/>
          <w:szCs w:val="24"/>
        </w:rPr>
      </w:pPr>
      <w:r>
        <w:rPr>
          <w:sz w:val="24"/>
          <w:szCs w:val="24"/>
        </w:rPr>
        <w:t xml:space="preserve">Every HIU that failed </w:t>
      </w:r>
      <w:r w:rsidR="00294A68">
        <w:rPr>
          <w:sz w:val="24"/>
          <w:szCs w:val="24"/>
        </w:rPr>
        <w:t>any of the individual parameters also failed the Overall test</w:t>
      </w:r>
      <w:r w:rsidR="00872A91">
        <w:rPr>
          <w:sz w:val="24"/>
          <w:szCs w:val="24"/>
        </w:rPr>
        <w:t xml:space="preserve"> as can be seen in </w:t>
      </w:r>
      <w:r w:rsidR="004648BE">
        <w:rPr>
          <w:sz w:val="24"/>
          <w:szCs w:val="24"/>
        </w:rPr>
        <w:fldChar w:fldCharType="begin"/>
      </w:r>
      <w:r w:rsidR="004648BE">
        <w:rPr>
          <w:sz w:val="24"/>
          <w:szCs w:val="24"/>
        </w:rPr>
        <w:instrText xml:space="preserve"> REF _Ref95658426 \h </w:instrText>
      </w:r>
      <w:r w:rsidR="004648BE">
        <w:rPr>
          <w:sz w:val="24"/>
          <w:szCs w:val="24"/>
        </w:rPr>
      </w:r>
      <w:r w:rsidR="004648BE">
        <w:rPr>
          <w:sz w:val="24"/>
          <w:szCs w:val="24"/>
        </w:rPr>
        <w:fldChar w:fldCharType="separate"/>
      </w:r>
      <w:r w:rsidRPr="00872A91" w:rsidR="00BA30DA">
        <w:t xml:space="preserve">Figure </w:t>
      </w:r>
      <w:r w:rsidR="00BA30DA">
        <w:rPr>
          <w:noProof/>
        </w:rPr>
        <w:t>3</w:t>
      </w:r>
      <w:r w:rsidR="004648BE">
        <w:rPr>
          <w:sz w:val="24"/>
          <w:szCs w:val="24"/>
        </w:rPr>
        <w:fldChar w:fldCharType="end"/>
      </w:r>
      <w:r w:rsidR="004648BE">
        <w:rPr>
          <w:sz w:val="24"/>
          <w:szCs w:val="24"/>
        </w:rPr>
        <w:t xml:space="preserve"> below.</w:t>
      </w:r>
      <w:r w:rsidR="00310AA8">
        <w:rPr>
          <w:sz w:val="24"/>
          <w:szCs w:val="24"/>
        </w:rPr>
        <w:t xml:space="preserve"> However, two HIUs pass all of the three independent tests (DHW, space heating and </w:t>
      </w:r>
      <w:r w:rsidR="00B873F7">
        <w:rPr>
          <w:sz w:val="24"/>
          <w:szCs w:val="24"/>
        </w:rPr>
        <w:t>Keep Warm</w:t>
      </w:r>
      <w:r w:rsidR="00310AA8">
        <w:rPr>
          <w:sz w:val="24"/>
          <w:szCs w:val="24"/>
        </w:rPr>
        <w:t xml:space="preserve"> VWARTs).</w:t>
      </w:r>
    </w:p>
    <w:p w:rsidR="00872A91" w:rsidP="00872A91" w:rsidRDefault="00872A91" w14:paraId="7184004C" w14:textId="77777777">
      <w:pPr>
        <w:keepNext/>
      </w:pPr>
      <w:r>
        <w:rPr>
          <w:noProof/>
        </w:rPr>
        <w:drawing>
          <wp:inline distT="0" distB="0" distL="0" distR="0" wp14:anchorId="77363C02" wp14:editId="3253162B">
            <wp:extent cx="5926455" cy="1597660"/>
            <wp:effectExtent l="0" t="0" r="0" b="2540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72A91" w:rsidR="00872A91" w:rsidP="00872A91" w:rsidRDefault="00872A91" w14:paraId="6AA0CCBE" w14:textId="25827EE1">
      <w:pPr>
        <w:pStyle w:val="Caption"/>
      </w:pPr>
      <w:bookmarkStart w:name="_Ref95658426" w:id="4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3</w:t>
      </w:r>
      <w:r>
        <w:fldChar w:fldCharType="end"/>
      </w:r>
      <w:bookmarkEnd w:id="4"/>
      <w:r w:rsidRPr="00872A91">
        <w:t xml:space="preserve"> </w:t>
      </w:r>
      <w:bookmarkStart w:name="_Hlk95665624" w:id="5"/>
      <w:r w:rsidRPr="00872A91">
        <w:t>HIUs that would fail the proposed high temperature VWART thresholds</w:t>
      </w:r>
      <w:bookmarkEnd w:id="5"/>
    </w:p>
    <w:p w:rsidRPr="001C6C36" w:rsidR="00134972" w:rsidP="001C6C36" w:rsidRDefault="00134972" w14:paraId="63E8D666" w14:textId="6BA903EA">
      <w:pPr>
        <w:rPr>
          <w:lang w:val="en-GB"/>
        </w:rPr>
      </w:pPr>
      <w:r>
        <w:rPr>
          <w:lang w:val="en-GB"/>
        </w:rPr>
        <w:t xml:space="preserve">Overall percentage of failures </w:t>
      </w:r>
      <w:r w:rsidR="0016329C">
        <w:rPr>
          <w:lang w:val="en-GB"/>
        </w:rPr>
        <w:t>for these pass thresholds would be</w:t>
      </w:r>
      <w:r>
        <w:rPr>
          <w:lang w:val="en-GB"/>
        </w:rPr>
        <w:t xml:space="preserve"> 31% (9 of 29 units fail)</w:t>
      </w:r>
      <w:r w:rsidR="0016329C">
        <w:rPr>
          <w:lang w:val="en-GB"/>
        </w:rPr>
        <w:t xml:space="preserve">. It should be noted that this analysis doesn’t currently consider the impact of the new temperature </w:t>
      </w:r>
      <w:r w:rsidR="00A470C7">
        <w:rPr>
          <w:lang w:val="en-GB"/>
        </w:rPr>
        <w:t xml:space="preserve">regime (see </w:t>
      </w:r>
      <w:r w:rsidR="00A470C7">
        <w:rPr>
          <w:lang w:val="en-GB"/>
        </w:rPr>
        <w:fldChar w:fldCharType="begin"/>
      </w:r>
      <w:r w:rsidR="00A470C7">
        <w:rPr>
          <w:lang w:val="en-GB"/>
        </w:rPr>
        <w:instrText xml:space="preserve"> REF _Ref95657942 \h </w:instrText>
      </w:r>
      <w:r w:rsidR="00A470C7">
        <w:rPr>
          <w:lang w:val="en-GB"/>
        </w:rPr>
      </w:r>
      <w:r w:rsidR="00A470C7">
        <w:rPr>
          <w:lang w:val="en-GB"/>
        </w:rPr>
        <w:fldChar w:fldCharType="separate"/>
      </w:r>
      <w:r w:rsidRPr="00A470C7" w:rsidR="00BA30DA">
        <w:t xml:space="preserve">Table </w:t>
      </w:r>
      <w:r w:rsidR="00BA30DA">
        <w:rPr>
          <w:noProof/>
        </w:rPr>
        <w:t>3</w:t>
      </w:r>
      <w:r w:rsidR="00A470C7">
        <w:rPr>
          <w:lang w:val="en-GB"/>
        </w:rPr>
        <w:fldChar w:fldCharType="end"/>
      </w:r>
      <w:r w:rsidR="00A470C7">
        <w:rPr>
          <w:lang w:val="en-GB"/>
        </w:rPr>
        <w:t>).</w:t>
      </w:r>
    </w:p>
    <w:p w:rsidRPr="00D36C91" w:rsidR="00D36C91" w:rsidP="004F6EEC" w:rsidRDefault="004F6EEC" w14:paraId="2173AEE6" w14:textId="376F1FA2">
      <w:pPr>
        <w:pStyle w:val="Heading1"/>
        <w:numPr>
          <w:ilvl w:val="0"/>
          <w:numId w:val="0"/>
        </w:numPr>
        <w:ind w:left="360" w:hanging="360"/>
        <w:rPr>
          <w:rFonts w:cstheme="minorHAnsi"/>
          <w:b w:val="0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>L</w:t>
      </w:r>
      <w:r w:rsidR="00D36C91">
        <w:rPr>
          <w:rFonts w:cstheme="minorHAnsi"/>
          <w:bCs/>
          <w:sz w:val="22"/>
          <w:szCs w:val="22"/>
        </w:rPr>
        <w:t>ow temperature test</w:t>
      </w:r>
    </w:p>
    <w:p w:rsidR="773E0AAF" w:rsidP="773E0AAF" w:rsidRDefault="00BD2F7B" w14:paraId="6CA46820" w14:textId="0F184433">
      <w:pPr>
        <w:jc w:val="both"/>
        <w:rPr>
          <w:rFonts w:ascii="Calibri" w:hAnsi="Calibri" w:eastAsia="Calibri" w:cs="Calibri"/>
          <w:color w:val="000000" w:themeColor="text1"/>
          <w:sz w:val="24"/>
          <w:szCs w:val="24"/>
        </w:rPr>
      </w:pPr>
      <w:r>
        <w:rPr>
          <w:lang w:val="en-GB"/>
        </w:rPr>
        <w:t xml:space="preserve">Based on the analysis presented in Section 2, the following VWART pass thresholds were proposed for the </w:t>
      </w:r>
      <w:r w:rsidR="00034DF6">
        <w:rPr>
          <w:lang w:val="en-GB"/>
        </w:rPr>
        <w:t>low</w:t>
      </w:r>
      <w:r>
        <w:rPr>
          <w:lang w:val="en-GB"/>
        </w:rPr>
        <w:t xml:space="preserve"> temperature tests.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21"/>
        <w:gridCol w:w="1704"/>
        <w:gridCol w:w="1276"/>
        <w:gridCol w:w="4650"/>
      </w:tblGrid>
      <w:tr w:rsidR="00317943" w:rsidTr="003047C4" w14:paraId="374101DA" w14:textId="77777777">
        <w:tc>
          <w:tcPr>
            <w:tcW w:w="1721" w:type="dxa"/>
            <w:shd w:val="clear" w:color="auto" w:fill="4F81BD" w:themeFill="accent1"/>
          </w:tcPr>
          <w:p w:rsidR="00317943" w:rsidP="003047C4" w:rsidRDefault="00317943" w14:paraId="52CDCC02" w14:textId="77777777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:rsidR="00317943" w:rsidP="003047C4" w:rsidRDefault="00317943" w14:paraId="3C184317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  <w:tc>
          <w:tcPr>
            <w:tcW w:w="1276" w:type="dxa"/>
            <w:shd w:val="clear" w:color="auto" w:fill="4F81BD" w:themeFill="accent1"/>
          </w:tcPr>
          <w:p w:rsidR="00317943" w:rsidP="003047C4" w:rsidRDefault="00317943" w14:paraId="09D2A572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 failed</w:t>
            </w:r>
          </w:p>
        </w:tc>
        <w:tc>
          <w:tcPr>
            <w:tcW w:w="4650" w:type="dxa"/>
            <w:shd w:val="clear" w:color="auto" w:fill="4F81BD" w:themeFill="accent1"/>
          </w:tcPr>
          <w:p w:rsidR="00317943" w:rsidP="003047C4" w:rsidRDefault="00317943" w14:paraId="7121C2F4" w14:textId="77777777">
            <w:pPr>
              <w:rPr>
                <w:lang w:val="en-GB"/>
              </w:rPr>
            </w:pPr>
            <w:r>
              <w:rPr>
                <w:lang w:val="en-GB"/>
              </w:rPr>
              <w:t>Comment</w:t>
            </w:r>
          </w:p>
        </w:tc>
      </w:tr>
      <w:tr w:rsidR="00317943" w:rsidTr="003047C4" w14:paraId="160B1993" w14:textId="77777777">
        <w:tc>
          <w:tcPr>
            <w:tcW w:w="1721" w:type="dxa"/>
          </w:tcPr>
          <w:p w:rsidR="00317943" w:rsidP="003047C4" w:rsidRDefault="00317943" w14:paraId="53F0E1BC" w14:textId="77777777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:rsidR="00317943" w:rsidP="003047C4" w:rsidRDefault="00317943" w14:paraId="5B10C575" w14:textId="0A6E3DC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1276" w:type="dxa"/>
          </w:tcPr>
          <w:p w:rsidR="00317943" w:rsidP="003047C4" w:rsidRDefault="00317943" w14:paraId="2D740361" w14:textId="7B9ED240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650" w:type="dxa"/>
          </w:tcPr>
          <w:p w:rsidR="00317943" w:rsidP="003047C4" w:rsidRDefault="00317943" w14:paraId="56B26CF7" w14:textId="58804345">
            <w:pPr>
              <w:rPr>
                <w:lang w:val="en-GB"/>
              </w:rPr>
            </w:pPr>
          </w:p>
        </w:tc>
      </w:tr>
      <w:tr w:rsidR="00317943" w:rsidTr="003047C4" w14:paraId="5FA5D92B" w14:textId="77777777">
        <w:tc>
          <w:tcPr>
            <w:tcW w:w="1721" w:type="dxa"/>
          </w:tcPr>
          <w:p w:rsidR="00317943" w:rsidP="003047C4" w:rsidRDefault="00317943" w14:paraId="42E0C7B6" w14:textId="77777777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:rsidR="00317943" w:rsidP="003047C4" w:rsidRDefault="00317943" w14:paraId="445A6A82" w14:textId="0059580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276" w:type="dxa"/>
          </w:tcPr>
          <w:p w:rsidR="00317943" w:rsidP="003047C4" w:rsidRDefault="00317943" w14:paraId="5BB4CB73" w14:textId="513EB4AE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50" w:type="dxa"/>
          </w:tcPr>
          <w:p w:rsidR="00317943" w:rsidP="003047C4" w:rsidRDefault="00317943" w14:paraId="41EDECE5" w14:textId="77777777">
            <w:pPr>
              <w:rPr>
                <w:lang w:val="en-GB"/>
              </w:rPr>
            </w:pPr>
            <w:r>
              <w:rPr>
                <w:lang w:val="en-GB"/>
              </w:rPr>
              <w:t>As per CP1 guidance</w:t>
            </w:r>
          </w:p>
        </w:tc>
      </w:tr>
      <w:tr w:rsidR="00317943" w:rsidTr="003047C4" w14:paraId="7D265DB7" w14:textId="77777777">
        <w:tc>
          <w:tcPr>
            <w:tcW w:w="1721" w:type="dxa"/>
          </w:tcPr>
          <w:p w:rsidR="00317943" w:rsidP="003047C4" w:rsidRDefault="00B873F7" w14:paraId="78892780" w14:textId="4A6D9571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:rsidR="00317943" w:rsidP="003047C4" w:rsidRDefault="00317943" w14:paraId="40BD5462" w14:textId="40BDB6A2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276" w:type="dxa"/>
          </w:tcPr>
          <w:p w:rsidR="00317943" w:rsidP="003047C4" w:rsidRDefault="00317943" w14:paraId="3A5B093F" w14:textId="6DA651C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650" w:type="dxa"/>
          </w:tcPr>
          <w:p w:rsidR="00317943" w:rsidP="003047C4" w:rsidRDefault="00317943" w14:paraId="517E80F7" w14:textId="77777777">
            <w:pPr>
              <w:rPr>
                <w:lang w:val="en-GB"/>
              </w:rPr>
            </w:pPr>
            <w:r>
              <w:rPr>
                <w:lang w:val="en-GB"/>
              </w:rPr>
              <w:t>Has significant impact on overall HIU performance</w:t>
            </w:r>
          </w:p>
        </w:tc>
      </w:tr>
    </w:tbl>
    <w:p w:rsidR="00032B15" w:rsidP="00032B15" w:rsidRDefault="00032B15" w14:paraId="76C9D169" w14:textId="2B03E948">
      <w:pPr>
        <w:pStyle w:val="Caption"/>
      </w:pPr>
      <w:bookmarkStart w:name="_Ref95733192" w:id="6"/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2</w:t>
      </w:r>
      <w:r>
        <w:fldChar w:fldCharType="end"/>
      </w:r>
      <w:bookmarkEnd w:id="6"/>
      <w:r>
        <w:t xml:space="preserve"> </w:t>
      </w:r>
      <w:r w:rsidRPr="002F6B60">
        <w:t xml:space="preserve">Initial proposed VWART thresholds for </w:t>
      </w:r>
      <w:r>
        <w:t>low</w:t>
      </w:r>
      <w:r w:rsidRPr="002F6B60">
        <w:t xml:space="preserve"> temperature test based on current temperature regime</w:t>
      </w:r>
    </w:p>
    <w:p w:rsidR="00403605" w:rsidP="00403605" w:rsidRDefault="00733529" w14:paraId="308389D3" w14:textId="65ACBF9D">
      <w:pPr>
        <w:rPr>
          <w:sz w:val="24"/>
          <w:szCs w:val="24"/>
        </w:rPr>
      </w:pPr>
      <w:r>
        <w:rPr>
          <w:sz w:val="24"/>
          <w:szCs w:val="24"/>
        </w:rPr>
        <w:t>Unlike the high temperature tests,</w:t>
      </w:r>
      <w:r w:rsidR="00FF1A7E">
        <w:rPr>
          <w:sz w:val="24"/>
          <w:szCs w:val="24"/>
        </w:rPr>
        <w:t xml:space="preserve"> there were several HIUs that failed individual tests (DHW and </w:t>
      </w:r>
      <w:r w:rsidR="00B873F7">
        <w:rPr>
          <w:sz w:val="24"/>
          <w:szCs w:val="24"/>
        </w:rPr>
        <w:t>Keep Warm</w:t>
      </w:r>
      <w:r w:rsidR="00FF1A7E">
        <w:rPr>
          <w:sz w:val="24"/>
          <w:szCs w:val="24"/>
        </w:rPr>
        <w:t>) but passed the Overall test result.</w:t>
      </w:r>
    </w:p>
    <w:p w:rsidR="00403605" w:rsidP="00403605" w:rsidRDefault="002003EB" w14:paraId="41801C62" w14:textId="77777777">
      <w:pPr>
        <w:keepNext/>
        <w:jc w:val="both"/>
      </w:pPr>
      <w:r>
        <w:rPr>
          <w:noProof/>
        </w:rPr>
        <w:drawing>
          <wp:inline distT="0" distB="0" distL="0" distR="0" wp14:anchorId="6302F01A" wp14:editId="49FF27F5">
            <wp:extent cx="5926455" cy="1753235"/>
            <wp:effectExtent l="0" t="0" r="0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3EB" w:rsidP="00403605" w:rsidRDefault="00403605" w14:paraId="7F29F3A3" w14:textId="70BFF35D">
      <w:pPr>
        <w:pStyle w:val="Caption"/>
        <w:jc w:val="both"/>
        <w:rPr>
          <w:rFonts w:ascii="Calibri" w:hAnsi="Calibri" w:eastAsia="Calibri" w:cs="Calibri"/>
          <w:color w:val="000000" w:themeColor="text1"/>
          <w:sz w:val="24"/>
          <w:szCs w:val="24"/>
        </w:rPr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4</w:t>
      </w:r>
      <w:r>
        <w:fldChar w:fldCharType="end"/>
      </w:r>
      <w:r>
        <w:t xml:space="preserve"> </w:t>
      </w:r>
      <w:r w:rsidRPr="007F3F58">
        <w:t xml:space="preserve">HIUs that would fail the proposed </w:t>
      </w:r>
      <w:r>
        <w:t>low</w:t>
      </w:r>
      <w:r w:rsidRPr="007F3F58">
        <w:t xml:space="preserve"> temperature VWART thresholds</w:t>
      </w:r>
    </w:p>
    <w:p w:rsidR="005F4D59" w:rsidRDefault="00403605" w14:paraId="6CA2540C" w14:textId="4AC9008D">
      <w:pPr>
        <w:rPr>
          <w:rFonts w:cs="Rajdhani Semibold" w:eastAsiaTheme="majorEastAsia"/>
          <w:sz w:val="32"/>
          <w:szCs w:val="32"/>
          <w:lang w:val="en-GB"/>
        </w:rPr>
      </w:pPr>
      <w:r>
        <w:rPr>
          <w:lang w:val="en-GB"/>
        </w:rPr>
        <w:t>Overall percentage of failures for these pass thresholds would be 34% (10 of 29 units fail). It should be noted that this analysis doesn’t currently consider the impact of the new temperature regime (see</w:t>
      </w:r>
      <w:r w:rsidR="00781A68">
        <w:rPr>
          <w:lang w:val="en-GB"/>
        </w:rPr>
        <w:t xml:space="preserve"> </w:t>
      </w:r>
      <w:r w:rsidR="00781A68">
        <w:rPr>
          <w:lang w:val="en-GB"/>
        </w:rPr>
        <w:fldChar w:fldCharType="begin"/>
      </w:r>
      <w:r w:rsidR="00781A68">
        <w:rPr>
          <w:lang w:val="en-GB"/>
        </w:rPr>
        <w:instrText xml:space="preserve"> REF _Ref95665722 \h </w:instrText>
      </w:r>
      <w:r w:rsidR="00781A68">
        <w:rPr>
          <w:lang w:val="en-GB"/>
        </w:rPr>
      </w:r>
      <w:r w:rsidR="00781A68">
        <w:rPr>
          <w:lang w:val="en-GB"/>
        </w:rPr>
        <w:fldChar w:fldCharType="separate"/>
      </w:r>
      <w:r w:rsidRPr="00A470C7" w:rsidR="00BA30DA">
        <w:t xml:space="preserve">Table </w:t>
      </w:r>
      <w:r w:rsidR="00BA30DA">
        <w:rPr>
          <w:noProof/>
        </w:rPr>
        <w:t>4</w:t>
      </w:r>
      <w:r w:rsidR="00781A68">
        <w:rPr>
          <w:lang w:val="en-GB"/>
        </w:rPr>
        <w:fldChar w:fldCharType="end"/>
      </w:r>
      <w:r w:rsidR="00781A68">
        <w:rPr>
          <w:lang w:val="en-GB"/>
        </w:rPr>
        <w:t>)</w:t>
      </w:r>
      <w:r>
        <w:rPr>
          <w:lang w:val="en-GB"/>
        </w:rPr>
        <w:t>.</w:t>
      </w:r>
    </w:p>
    <w:p w:rsidR="006D3AC1" w:rsidRDefault="006D3AC1" w14:paraId="08624013" w14:textId="77777777">
      <w:pPr>
        <w:rPr>
          <w:rFonts w:cs="Rajdhani Semibold" w:eastAsiaTheme="majorEastAsia"/>
          <w:b/>
          <w:sz w:val="28"/>
          <w:szCs w:val="28"/>
          <w:lang w:val="en-GB"/>
        </w:rPr>
      </w:pPr>
      <w:r>
        <w:br w:type="page"/>
      </w:r>
    </w:p>
    <w:p w:rsidRPr="00D36C91" w:rsidR="00FF1A7E" w:rsidP="009B3E55" w:rsidRDefault="004F6EEC" w14:paraId="500D4D96" w14:textId="2C886A49">
      <w:pPr>
        <w:pStyle w:val="Heading2"/>
        <w:rPr/>
      </w:pPr>
      <w:r w:rsidR="004F6EEC">
        <w:rPr/>
        <w:t>Final p</w:t>
      </w:r>
      <w:r w:rsidR="00FF1A7E">
        <w:rPr/>
        <w:t>roposed VWART pass threshold values</w:t>
      </w:r>
    </w:p>
    <w:p w:rsidRPr="00383CFD" w:rsidR="773E0AAF" w:rsidP="773E0AAF" w:rsidRDefault="773E0AAF" w14:paraId="1E7E90C8" w14:textId="606E5919">
      <w:pPr>
        <w:jc w:val="both"/>
        <w:rPr>
          <w:rFonts w:eastAsiaTheme="majorEastAsia" w:cstheme="minorHAnsi"/>
          <w:b/>
          <w:bCs/>
          <w:lang w:val="en-GB"/>
        </w:rPr>
      </w:pPr>
      <w:r w:rsidRPr="00383CFD">
        <w:rPr>
          <w:rFonts w:eastAsiaTheme="majorEastAsia" w:cstheme="minorHAnsi"/>
          <w:b/>
          <w:bCs/>
          <w:lang w:val="en-GB"/>
        </w:rPr>
        <w:t>High temperature test</w:t>
      </w:r>
    </w:p>
    <w:p w:rsidRPr="00383CFD" w:rsidR="00A470C7" w:rsidP="00383CFD" w:rsidRDefault="00A95E9A" w14:paraId="7147B06E" w14:textId="63BFBB70">
      <w:r>
        <w:t>The temperature change</w:t>
      </w:r>
      <w:r w:rsidR="00E60D6B">
        <w:t>s</w:t>
      </w:r>
      <w:r>
        <w:t xml:space="preserve"> proposed in for the high temperature test is a reduction in the DHW flow temperature from 55 to 50 </w:t>
      </w:r>
      <w:r w:rsidRPr="00FC3C46">
        <w:t>°C</w:t>
      </w:r>
      <w:r w:rsidR="00E60D6B">
        <w:t xml:space="preserve"> and the space heating profile </w:t>
      </w:r>
      <w:r w:rsidR="004F76B5">
        <w:t>to change from 60/40 °C to 55/35 °C</w:t>
      </w:r>
      <w: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2595"/>
        <w:gridCol w:w="2595"/>
      </w:tblGrid>
      <w:tr w:rsidR="773E0AAF" w:rsidTr="00D12248" w14:paraId="012D444D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RDefault="773E0AAF" w14:paraId="1AD721AA" w14:textId="6ADAA51E">
            <w:r w:rsidRPr="773E0AAF">
              <w:rPr>
                <w:rFonts w:ascii="Calibri" w:hAnsi="Calibri" w:eastAsia="Calibri" w:cs="Calibri"/>
                <w:color w:val="000000" w:themeColor="text1"/>
              </w:rPr>
              <w:t>Criteria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P="773E0AAF" w:rsidRDefault="773E0AAF" w14:paraId="1B65CED6" w14:textId="23F7DB0C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Current test value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 xml:space="preserve"> (</w:t>
            </w:r>
            <w:r w:rsidRPr="00FC3C46" w:rsidR="00A95E9A">
              <w:t>°C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>)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P="773E0AAF" w:rsidRDefault="773E0AAF" w14:paraId="5712286E" w14:textId="31EFE6FF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Proposed test value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 xml:space="preserve"> (</w:t>
            </w:r>
            <w:r w:rsidRPr="00FC3C46" w:rsidR="00A95E9A">
              <w:t>°C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>)</w:t>
            </w:r>
          </w:p>
        </w:tc>
      </w:tr>
      <w:tr w:rsidR="773E0AAF" w:rsidTr="773E0AAF" w14:paraId="4B9CB7D1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68574D9F" w14:textId="34BD4159">
            <w:r w:rsidRPr="773E0AAF">
              <w:rPr>
                <w:rFonts w:ascii="Calibri" w:hAnsi="Calibri" w:eastAsia="Calibri" w:cs="Calibri"/>
                <w:color w:val="000000" w:themeColor="text1"/>
              </w:rPr>
              <w:t>DH flow temperature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52CC9857" w14:textId="0AA8F8F9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70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4900AB49" w14:textId="38BA8566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70</w:t>
            </w:r>
          </w:p>
        </w:tc>
      </w:tr>
      <w:tr w:rsidR="773E0AAF" w:rsidTr="773E0AAF" w14:paraId="031D7C96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1771858A" w14:textId="0ED009F6">
            <w:r w:rsidRPr="773E0AAF">
              <w:rPr>
                <w:rFonts w:ascii="Calibri" w:hAnsi="Calibri" w:eastAsia="Calibri" w:cs="Calibri"/>
                <w:color w:val="000000" w:themeColor="text1"/>
              </w:rPr>
              <w:t>DHW flow temperature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5E3B125C" w14:textId="34BB94BD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55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70AD47"/>
          </w:tcPr>
          <w:p w:rsidR="773E0AAF" w:rsidP="773E0AAF" w:rsidRDefault="773E0AAF" w14:paraId="34FCE664" w14:textId="2D95EBCF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50</w:t>
            </w:r>
          </w:p>
        </w:tc>
      </w:tr>
      <w:tr w:rsidR="773E0AAF" w:rsidTr="005B63A5" w14:paraId="3F4C7329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0BAD84B6" w14:textId="5D959B04">
            <w:r w:rsidRPr="773E0AAF">
              <w:rPr>
                <w:rFonts w:ascii="Calibri" w:hAnsi="Calibri" w:eastAsia="Calibri" w:cs="Calibri"/>
                <w:color w:val="000000" w:themeColor="text1"/>
              </w:rPr>
              <w:t>Space heating flow temperature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025594F2" w14:textId="65F0A057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60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70AD47"/>
          </w:tcPr>
          <w:p w:rsidR="773E0AAF" w:rsidP="773E0AAF" w:rsidRDefault="006E5807" w14:paraId="70A8570E" w14:textId="1FBDA274">
            <w:pPr>
              <w:jc w:val="center"/>
            </w:pPr>
            <w:r>
              <w:rPr>
                <w:rFonts w:ascii="Calibri" w:hAnsi="Calibri" w:eastAsia="Calibri" w:cs="Calibri"/>
                <w:color w:val="000000" w:themeColor="text1"/>
              </w:rPr>
              <w:t>55</w:t>
            </w:r>
          </w:p>
        </w:tc>
      </w:tr>
      <w:tr w:rsidR="773E0AAF" w:rsidTr="005B63A5" w14:paraId="728C7454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7F4B1465" w14:textId="1FBA232F">
            <w:r w:rsidRPr="773E0AAF">
              <w:rPr>
                <w:rFonts w:ascii="Calibri" w:hAnsi="Calibri" w:eastAsia="Calibri" w:cs="Calibri"/>
                <w:color w:val="000000" w:themeColor="text1"/>
              </w:rPr>
              <w:t>Space heating return temperature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06ED6B33" w14:textId="12672249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40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70AD47"/>
          </w:tcPr>
          <w:p w:rsidR="773E0AAF" w:rsidP="773E0AAF" w:rsidRDefault="006E5807" w14:paraId="2A4DDEB4" w14:textId="5B70FD69">
            <w:pPr>
              <w:jc w:val="center"/>
            </w:pPr>
            <w:r>
              <w:rPr>
                <w:rFonts w:ascii="Calibri" w:hAnsi="Calibri" w:eastAsia="Calibri" w:cs="Calibri"/>
                <w:color w:val="000000" w:themeColor="text1"/>
              </w:rPr>
              <w:t>35</w:t>
            </w:r>
          </w:p>
        </w:tc>
      </w:tr>
    </w:tbl>
    <w:p w:rsidR="773E0AAF" w:rsidP="00872A91" w:rsidRDefault="773E0AAF" w14:paraId="0BC01197" w14:textId="6241377E">
      <w:pPr>
        <w:pStyle w:val="Caption"/>
      </w:pPr>
      <w:r w:rsidRPr="773E0AAF">
        <w:rPr>
          <w:rFonts w:ascii="Calibri" w:hAnsi="Calibri" w:eastAsia="Calibri" w:cs="Calibri"/>
          <w:color w:val="000000" w:themeColor="text1"/>
        </w:rPr>
        <w:t xml:space="preserve"> </w:t>
      </w:r>
      <w:bookmarkStart w:name="_Ref95657942" w:id="7"/>
      <w:r w:rsidRPr="00A470C7" w:rsidR="00A470C7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3</w:t>
      </w:r>
      <w:r>
        <w:fldChar w:fldCharType="end"/>
      </w:r>
      <w:bookmarkEnd w:id="7"/>
      <w:r w:rsidRPr="00A470C7" w:rsidR="00A470C7">
        <w:t xml:space="preserve"> Current and proposed temperature test values for the high temperature test</w:t>
      </w:r>
    </w:p>
    <w:p w:rsidR="00A95E9A" w:rsidP="00A95E9A" w:rsidRDefault="00A95E9A" w14:paraId="26F5E328" w14:textId="511EA302">
      <w:r>
        <w:t xml:space="preserve">It is considered that this will have a minimal impact on the </w:t>
      </w:r>
      <w:r w:rsidR="00CB11EB">
        <w:t xml:space="preserve">DHW VWART and an even smaller impact on the </w:t>
      </w:r>
      <w:r w:rsidR="00B873F7">
        <w:t>Keep Warm</w:t>
      </w:r>
      <w:r w:rsidR="00CB11EB">
        <w:t xml:space="preserve"> VWART. As there will be a larger forward approach temperature</w:t>
      </w:r>
      <w:r w:rsidR="005B6B1B">
        <w:t xml:space="preserve"> (20 </w:t>
      </w:r>
      <w:r w:rsidRPr="00FC3C46" w:rsidR="005B6B1B">
        <w:t>°C</w:t>
      </w:r>
      <w:r w:rsidR="005B6B1B">
        <w:t xml:space="preserve"> compared with 15 </w:t>
      </w:r>
      <w:r w:rsidRPr="00FC3C46" w:rsidR="005B6B1B">
        <w:t>°C</w:t>
      </w:r>
      <w:r w:rsidR="005B6B1B">
        <w:t>)</w:t>
      </w:r>
      <w:r w:rsidR="00CB11EB">
        <w:t xml:space="preserve"> during the DHW test, it is likely that HIUs will perform slightly better </w:t>
      </w:r>
      <w:r w:rsidR="005B6B1B">
        <w:t xml:space="preserve">than current tests. Therefore, it is proposed that the initial </w:t>
      </w:r>
      <w:r w:rsidR="000323A8">
        <w:t xml:space="preserve">VWART pass thresholds as outlined in </w:t>
      </w:r>
      <w:r w:rsidR="000323A8">
        <w:fldChar w:fldCharType="begin"/>
      </w:r>
      <w:r w:rsidR="000323A8">
        <w:instrText xml:space="preserve"> REF _Ref95657939 \h </w:instrText>
      </w:r>
      <w:r w:rsidR="000323A8">
        <w:fldChar w:fldCharType="separate"/>
      </w:r>
      <w:r w:rsidRPr="0016329C" w:rsidR="00BA30DA">
        <w:t xml:space="preserve">Table </w:t>
      </w:r>
      <w:r w:rsidR="00BA30DA">
        <w:rPr>
          <w:noProof/>
        </w:rPr>
        <w:t>1</w:t>
      </w:r>
      <w:r w:rsidR="000323A8">
        <w:fldChar w:fldCharType="end"/>
      </w:r>
      <w:r w:rsidR="000323A8">
        <w:t xml:space="preserve"> are used.</w:t>
      </w:r>
    </w:p>
    <w:p w:rsidRPr="00A95E9A" w:rsidR="00820C5E" w:rsidP="00A95E9A" w:rsidRDefault="00820C5E" w14:paraId="291A5F3E" w14:textId="7C2E12DB">
      <w:r>
        <w:t>Li</w:t>
      </w:r>
      <w:r w:rsidR="00E15561">
        <w:t xml:space="preserve">kewise with the reduction of space heating </w:t>
      </w:r>
      <w:r w:rsidR="001A1D2C">
        <w:t xml:space="preserve">temperatures, </w:t>
      </w:r>
      <w:r w:rsidR="009E2951">
        <w:t xml:space="preserve">it is expected that the reduction of VWART will scale linearly with the reduction in the return temperature, </w:t>
      </w:r>
      <w:r w:rsidR="004B1EE1">
        <w:t xml:space="preserve">i.e. </w:t>
      </w:r>
      <w:r w:rsidR="00C57763">
        <w:t xml:space="preserve">if the heating circuit return temperature drops from 40 °C to 35 °C, </w:t>
      </w:r>
      <w:r w:rsidR="008A35D0">
        <w:t xml:space="preserve">the primary return temperature expected will also drop by 5 °C, </w:t>
      </w:r>
      <w:r w:rsidR="009E2951">
        <w:t>therefore, as above</w:t>
      </w:r>
      <w:r w:rsidRPr="009E2951" w:rsidR="009E2951">
        <w:t xml:space="preserve"> </w:t>
      </w:r>
      <w:r w:rsidR="009E2951">
        <w:t xml:space="preserve">it is proposed that the initial VWART pass thresholds as outlined in </w:t>
      </w:r>
      <w:r w:rsidR="009E2951">
        <w:fldChar w:fldCharType="begin"/>
      </w:r>
      <w:r w:rsidR="009E2951">
        <w:instrText xml:space="preserve"> REF _Ref95657939 \h </w:instrText>
      </w:r>
      <w:r w:rsidR="009E2951">
        <w:fldChar w:fldCharType="separate"/>
      </w:r>
      <w:r w:rsidRPr="0016329C" w:rsidR="00BA30DA">
        <w:t xml:space="preserve">Table </w:t>
      </w:r>
      <w:r w:rsidR="00BA30DA">
        <w:rPr>
          <w:noProof/>
        </w:rPr>
        <w:t>1</w:t>
      </w:r>
      <w:r w:rsidR="009E2951">
        <w:fldChar w:fldCharType="end"/>
      </w:r>
      <w:r w:rsidR="009E2951">
        <w:t xml:space="preserve"> are used.</w:t>
      </w:r>
    </w:p>
    <w:p w:rsidRPr="00383CFD" w:rsidR="773E0AAF" w:rsidP="773E0AAF" w:rsidRDefault="773E0AAF" w14:paraId="4AC08988" w14:textId="4B647377">
      <w:pPr>
        <w:jc w:val="both"/>
        <w:rPr>
          <w:rFonts w:eastAsiaTheme="majorEastAsia" w:cstheme="minorHAnsi"/>
          <w:b/>
          <w:bCs/>
          <w:lang w:val="en-GB"/>
        </w:rPr>
      </w:pPr>
      <w:r w:rsidRPr="00383CFD">
        <w:rPr>
          <w:rFonts w:eastAsiaTheme="majorEastAsia" w:cstheme="minorHAnsi"/>
          <w:b/>
          <w:bCs/>
          <w:lang w:val="en-GB"/>
        </w:rPr>
        <w:t>Low temperature test</w:t>
      </w:r>
    </w:p>
    <w:p w:rsidRPr="00A470C7" w:rsidR="00A470C7" w:rsidP="00B84CB3" w:rsidRDefault="00B84CB3" w14:paraId="7E98B76A" w14:textId="21CC7775">
      <w:r>
        <w:t xml:space="preserve">There is only one temperature changed proposed in the low temperature test. However, this is much more significant than the </w:t>
      </w:r>
      <w:r w:rsidR="00582C43">
        <w:t xml:space="preserve">high temperature test changes as it is a reduction in the primary flow temperature. This will have a significant impact on the DHW VWART as the forward approach temperature is being reduced from 10 </w:t>
      </w:r>
      <w:r w:rsidRPr="00FC3C46" w:rsidR="00582C43">
        <w:t>°C</w:t>
      </w:r>
      <w:r w:rsidR="00582C43">
        <w:t xml:space="preserve"> to 5</w:t>
      </w:r>
      <w:r w:rsidRPr="00FC3C46" w:rsidR="00582C43">
        <w:t>°C</w:t>
      </w:r>
      <w:r w:rsidR="00582C43">
        <w:t xml:space="preserve">. </w:t>
      </w:r>
      <w:r w:rsidR="008C2FC5">
        <w:t>It is expected that DH primary return temperatures will be higher for the same HIU and DHW plate heat exchanger (PHE).</w:t>
      </w:r>
      <w:r w:rsidR="00582C43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2550"/>
        <w:gridCol w:w="2640"/>
      </w:tblGrid>
      <w:tr w:rsidR="773E0AAF" w:rsidTr="00D12248" w14:paraId="53B9ACA7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RDefault="773E0AAF" w14:paraId="5AC7CE1C" w14:textId="2838685E">
            <w:r w:rsidRPr="773E0AAF">
              <w:rPr>
                <w:rFonts w:ascii="Calibri" w:hAnsi="Calibri" w:eastAsia="Calibri" w:cs="Calibri"/>
                <w:color w:val="000000" w:themeColor="text1"/>
              </w:rPr>
              <w:t>Criteria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P="773E0AAF" w:rsidRDefault="773E0AAF" w14:paraId="4787B405" w14:textId="3AF9C616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Current test value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 xml:space="preserve"> (</w:t>
            </w:r>
            <w:r w:rsidRPr="00FC3C46" w:rsidR="00A95E9A">
              <w:t>°C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>)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="773E0AAF" w:rsidP="773E0AAF" w:rsidRDefault="773E0AAF" w14:paraId="7BFFEBB2" w14:textId="5B636C03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Proposed test value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 xml:space="preserve"> (</w:t>
            </w:r>
            <w:r w:rsidRPr="00FC3C46" w:rsidR="00A95E9A">
              <w:t>°C</w:t>
            </w:r>
            <w:r w:rsidR="00A95E9A">
              <w:rPr>
                <w:rFonts w:ascii="Calibri" w:hAnsi="Calibri" w:eastAsia="Calibri" w:cs="Calibri"/>
                <w:color w:val="000000" w:themeColor="text1"/>
              </w:rPr>
              <w:t>)</w:t>
            </w:r>
          </w:p>
        </w:tc>
      </w:tr>
      <w:tr w:rsidR="773E0AAF" w:rsidTr="773E0AAF" w14:paraId="437C3F91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5926A3F6" w14:textId="6CF37DAB">
            <w:r w:rsidRPr="773E0AAF">
              <w:rPr>
                <w:rFonts w:ascii="Calibri" w:hAnsi="Calibri" w:eastAsia="Calibri" w:cs="Calibri"/>
                <w:color w:val="000000" w:themeColor="text1"/>
              </w:rPr>
              <w:t>DH flow temperature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00BF90D5" w14:textId="2013970A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60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70AD47"/>
          </w:tcPr>
          <w:p w:rsidR="773E0AAF" w:rsidP="773E0AAF" w:rsidRDefault="773E0AAF" w14:paraId="137A9C24" w14:textId="319D27A2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55</w:t>
            </w:r>
          </w:p>
        </w:tc>
      </w:tr>
      <w:tr w:rsidR="773E0AAF" w:rsidTr="773E0AAF" w14:paraId="02F3FF59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3B502D84" w14:textId="32FA6D3A">
            <w:r w:rsidRPr="773E0AAF">
              <w:rPr>
                <w:rFonts w:ascii="Calibri" w:hAnsi="Calibri" w:eastAsia="Calibri" w:cs="Calibri"/>
                <w:color w:val="000000" w:themeColor="text1"/>
              </w:rPr>
              <w:t>DHW flow temperature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21A83248" w14:textId="7ECB568D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50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4561C37F" w14:textId="1F011063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50</w:t>
            </w:r>
          </w:p>
        </w:tc>
      </w:tr>
      <w:tr w:rsidR="773E0AAF" w:rsidTr="773E0AAF" w14:paraId="056A612F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5C162543" w14:textId="6206CF51">
            <w:r w:rsidRPr="773E0AAF">
              <w:rPr>
                <w:rFonts w:ascii="Calibri" w:hAnsi="Calibri" w:eastAsia="Calibri" w:cs="Calibri"/>
                <w:color w:val="000000" w:themeColor="text1"/>
              </w:rPr>
              <w:t>Space heating flow temperature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3DD2F485" w14:textId="640B96B9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45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4C08007A" w14:textId="40C99303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45</w:t>
            </w:r>
          </w:p>
        </w:tc>
      </w:tr>
      <w:tr w:rsidR="773E0AAF" w:rsidTr="773E0AAF" w14:paraId="683C1E17" w14:textId="77777777">
        <w:tc>
          <w:tcPr>
            <w:tcW w:w="3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RDefault="773E0AAF" w14:paraId="7C7AE408" w14:textId="673B6E70">
            <w:r w:rsidRPr="773E0AAF">
              <w:rPr>
                <w:rFonts w:ascii="Calibri" w:hAnsi="Calibri" w:eastAsia="Calibri" w:cs="Calibri"/>
                <w:color w:val="000000" w:themeColor="text1"/>
              </w:rPr>
              <w:t>Space heating return temperature</w:t>
            </w:r>
          </w:p>
        </w:tc>
        <w:tc>
          <w:tcPr>
            <w:tcW w:w="25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2221B4C0" w14:textId="218A9D43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35</w:t>
            </w:r>
          </w:p>
        </w:tc>
        <w:tc>
          <w:tcPr>
            <w:tcW w:w="2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:rsidR="773E0AAF" w:rsidP="773E0AAF" w:rsidRDefault="773E0AAF" w14:paraId="7B201269" w14:textId="75068A19">
            <w:pPr>
              <w:jc w:val="center"/>
            </w:pPr>
            <w:r w:rsidRPr="773E0AAF">
              <w:rPr>
                <w:rFonts w:ascii="Calibri" w:hAnsi="Calibri" w:eastAsia="Calibri" w:cs="Calibri"/>
                <w:color w:val="000000" w:themeColor="text1"/>
              </w:rPr>
              <w:t>35</w:t>
            </w:r>
          </w:p>
        </w:tc>
      </w:tr>
    </w:tbl>
    <w:p w:rsidR="773E0AAF" w:rsidP="00872A91" w:rsidRDefault="773E0AAF" w14:paraId="5E173A8A" w14:textId="5502407D">
      <w:pPr>
        <w:pStyle w:val="Caption"/>
      </w:pPr>
      <w:r w:rsidRPr="00087E1D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 </w:t>
      </w:r>
      <w:bookmarkStart w:name="_Ref95665722" w:id="8"/>
      <w:r w:rsidRPr="00A470C7" w:rsidR="00A470C7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4</w:t>
      </w:r>
      <w:r>
        <w:fldChar w:fldCharType="end"/>
      </w:r>
      <w:bookmarkEnd w:id="8"/>
      <w:r w:rsidRPr="00A470C7" w:rsidR="00A470C7">
        <w:t xml:space="preserve"> Current and proposed temperature test values for the low temperature test</w:t>
      </w:r>
    </w:p>
    <w:p w:rsidR="008C2FC5" w:rsidP="008C2FC5" w:rsidRDefault="00DA542F" w14:paraId="76F654C5" w14:textId="5F914F6D">
      <w:r>
        <w:t xml:space="preserve">In order to estimate the impact of the temperature change, SWEP provided </w:t>
      </w:r>
      <w:r w:rsidR="00284BA4">
        <w:t xml:space="preserve">the theoretical return temperatures for two common HIU plates at the three </w:t>
      </w:r>
      <w:r w:rsidR="00D5006B">
        <w:t>DHW power level tests (approximately 8, 15 and 20 kW).</w:t>
      </w:r>
      <w:r w:rsidR="00F04D1B">
        <w:t xml:space="preserve"> It is understood that other major PHE manufacturers have comparable performance.</w:t>
      </w:r>
    </w:p>
    <w:p w:rsidR="008A35D0" w:rsidP="008C2FC5" w:rsidRDefault="008A35D0" w14:paraId="7B0C851F" w14:textId="77777777"/>
    <w:p w:rsidR="008A35D0" w:rsidP="008C2FC5" w:rsidRDefault="008A35D0" w14:paraId="229E20EA" w14:textId="77777777"/>
    <w:p w:rsidR="008A35D0" w:rsidP="008C2FC5" w:rsidRDefault="008A35D0" w14:paraId="607DC204" w14:textId="77777777"/>
    <w:p w:rsidR="008A35D0" w:rsidP="008C2FC5" w:rsidRDefault="008A35D0" w14:paraId="49B8E8C0" w14:textId="77777777"/>
    <w:tbl>
      <w:tblPr>
        <w:tblW w:w="9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923"/>
        <w:gridCol w:w="3260"/>
      </w:tblGrid>
      <w:tr w:rsidR="005418B3" w:rsidTr="00D12248" w14:paraId="4D44F7FC" w14:textId="73209AB1">
        <w:trPr>
          <w:trHeight w:val="20"/>
        </w:trPr>
        <w:tc>
          <w:tcPr>
            <w:tcW w:w="18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5418B3" w:rsidP="00EA09EE" w:rsidRDefault="005418B3" w14:paraId="4E6F9F68" w14:textId="3CB629BD">
            <w:pPr>
              <w:pStyle w:val="Style1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Heat Load (kW)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5418B3" w:rsidP="00387AD8" w:rsidRDefault="005418B3" w14:paraId="2B432F66" w14:textId="26B89E74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DH Flow Temp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</w:p>
        </w:tc>
        <w:tc>
          <w:tcPr>
            <w:tcW w:w="19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5418B3" w:rsidP="00387AD8" w:rsidRDefault="005418B3" w14:paraId="43C3E56A" w14:textId="34CE7315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Return T</w:t>
            </w:r>
            <w:r>
              <w:rPr>
                <w:rFonts w:cstheme="minorHAnsi"/>
                <w:szCs w:val="24"/>
              </w:rPr>
              <w:t>emp</w:t>
            </w:r>
            <w:r w:rsidRPr="005418B3">
              <w:rPr>
                <w:rFonts w:cstheme="minorHAnsi"/>
                <w:szCs w:val="24"/>
              </w:rPr>
              <w:t xml:space="preserve">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  <w:r w:rsidRPr="005418B3">
              <w:rPr>
                <w:rFonts w:cstheme="minorHAnsi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Pr="005418B3" w:rsidR="005418B3" w:rsidP="00387AD8" w:rsidRDefault="005418B3" w14:paraId="44DB5E5A" w14:textId="0EF3C5A5">
            <w:pPr>
              <w:pStyle w:val="Style1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Increase in DH Return Temp (</w:t>
            </w:r>
            <w:r w:rsidRPr="00FC3C46">
              <w:rPr>
                <w:rFonts w:eastAsiaTheme="minorEastAsia"/>
                <w:lang w:val="en-US"/>
              </w:rPr>
              <w:t>°C</w:t>
            </w:r>
            <w:r>
              <w:rPr>
                <w:rFonts w:cstheme="minorHAnsi"/>
                <w:szCs w:val="24"/>
              </w:rPr>
              <w:t>)</w:t>
            </w:r>
          </w:p>
        </w:tc>
      </w:tr>
      <w:tr w:rsidR="00434661" w:rsidTr="003047C4" w14:paraId="45877E36" w14:textId="6071DB22">
        <w:trPr>
          <w:trHeight w:val="83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434661" w:rsidP="00434661" w:rsidRDefault="00434661" w14:paraId="03922DAB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8</w:t>
            </w:r>
          </w:p>
          <w:p w:rsidRPr="005418B3" w:rsidR="00434661" w:rsidP="00434661" w:rsidRDefault="00434661" w14:paraId="39261BDF" w14:textId="7BDE4EDA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060807CB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40317CA4" w14:textId="20180DC2">
            <w:pPr>
              <w:pStyle w:val="Style1"/>
              <w:jc w:val="center"/>
            </w:pPr>
            <w:r w:rsidRPr="00F56024">
              <w:t>14.82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F56024" w:rsidR="00434661" w:rsidP="00A40E27" w:rsidRDefault="00434661" w14:paraId="0AF09BA5" w14:textId="3808C9E6">
            <w:pPr>
              <w:pStyle w:val="Style1"/>
              <w:jc w:val="center"/>
            </w:pPr>
            <w:r>
              <w:t>3.95</w:t>
            </w:r>
          </w:p>
        </w:tc>
      </w:tr>
      <w:tr w:rsidR="00434661" w:rsidTr="003047C4" w14:paraId="728314F7" w14:textId="456BA122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434661" w:rsidP="00434661" w:rsidRDefault="00434661" w14:paraId="7A01C743" w14:textId="27E13535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314659E4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78E13389" w14:textId="54002959">
            <w:pPr>
              <w:pStyle w:val="Style1"/>
              <w:jc w:val="center"/>
            </w:pPr>
            <w:r w:rsidRPr="00F56024">
              <w:t>18.77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:rsidRPr="005418B3" w:rsidR="00434661" w:rsidP="00A40E27" w:rsidRDefault="00434661" w14:paraId="4D1177F5" w14:textId="7777777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  <w:tr w:rsidR="00434661" w:rsidTr="003047C4" w14:paraId="2FD57D6E" w14:textId="69A65747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434661" w:rsidP="00434661" w:rsidRDefault="00434661" w14:paraId="1514B300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15</w:t>
            </w:r>
          </w:p>
          <w:p w:rsidRPr="005418B3" w:rsidR="00434661" w:rsidP="00434661" w:rsidRDefault="00434661" w14:paraId="29C82DDC" w14:textId="1A83F21D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7F941A93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0FCFBEC0" w14:textId="7F3BD4BD">
            <w:pPr>
              <w:pStyle w:val="Style1"/>
              <w:jc w:val="center"/>
            </w:pPr>
            <w:r w:rsidRPr="00F56024">
              <w:t>17.73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F56024" w:rsidR="00434661" w:rsidP="00A40E27" w:rsidRDefault="00434661" w14:paraId="2D6F3AE0" w14:textId="5B56F3B8">
            <w:pPr>
              <w:pStyle w:val="Style1"/>
              <w:jc w:val="center"/>
            </w:pPr>
            <w:r>
              <w:t>4.94</w:t>
            </w:r>
          </w:p>
        </w:tc>
      </w:tr>
      <w:tr w:rsidR="00434661" w:rsidTr="003047C4" w14:paraId="59470FF2" w14:textId="60A53C10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434661" w:rsidP="00434661" w:rsidRDefault="00434661" w14:paraId="2C39A8D9" w14:textId="4F80B018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3B0F560A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68FD5231" w14:textId="5AF695B8">
            <w:pPr>
              <w:pStyle w:val="Style1"/>
              <w:jc w:val="center"/>
            </w:pPr>
            <w:r w:rsidRPr="00F56024">
              <w:t>22.67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:rsidRPr="005418B3" w:rsidR="00434661" w:rsidP="00A40E27" w:rsidRDefault="00434661" w14:paraId="3DFE10AC" w14:textId="7777777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  <w:tr w:rsidR="00434661" w:rsidTr="003047C4" w14:paraId="76982F7A" w14:textId="50DBEB72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434661" w:rsidP="00434661" w:rsidRDefault="00434661" w14:paraId="43A2D71C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20</w:t>
            </w:r>
          </w:p>
          <w:p w:rsidRPr="005418B3" w:rsidR="00434661" w:rsidP="00434661" w:rsidRDefault="00434661" w14:paraId="163B9135" w14:textId="52EC122F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063E4D03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3D4AB896" w14:textId="1B54E5EE">
            <w:pPr>
              <w:pStyle w:val="Style1"/>
              <w:jc w:val="center"/>
            </w:pPr>
            <w:r w:rsidRPr="00F56024">
              <w:t>19.31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F56024" w:rsidR="00434661" w:rsidP="00A40E27" w:rsidRDefault="00F56024" w14:paraId="1FE460C3" w14:textId="1CA4F251">
            <w:pPr>
              <w:pStyle w:val="Style1"/>
              <w:jc w:val="center"/>
            </w:pPr>
            <w:r>
              <w:t>5.38</w:t>
            </w:r>
          </w:p>
        </w:tc>
      </w:tr>
      <w:tr w:rsidR="00434661" w:rsidTr="003047C4" w14:paraId="005865C5" w14:textId="0CF9ECF5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4762451E" w14:textId="1A70C0EB">
            <w:pPr>
              <w:pStyle w:val="Style1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434661" w:rsidP="00434661" w:rsidRDefault="00434661" w14:paraId="20027C06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F56024" w:rsidR="00434661" w:rsidP="00A40E27" w:rsidRDefault="00434661" w14:paraId="6FEA0896" w14:textId="297FA562">
            <w:pPr>
              <w:pStyle w:val="Style1"/>
              <w:jc w:val="center"/>
            </w:pPr>
            <w:r w:rsidRPr="00F56024">
              <w:t>24.69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</w:tcPr>
          <w:p w:rsidRPr="005418B3" w:rsidR="00434661" w:rsidP="00434661" w:rsidRDefault="00434661" w14:paraId="6B0424FB" w14:textId="7777777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</w:tbl>
    <w:p w:rsidR="00671BDF" w:rsidP="00DA79C8" w:rsidRDefault="00A40E27" w14:paraId="134733B1" w14:textId="7BDAC5B6">
      <w:pPr>
        <w:pStyle w:val="Caption"/>
      </w:pPr>
      <w:r w:rsidRPr="00DA79C8">
        <w:t xml:space="preserve">Table </w:t>
      </w:r>
      <w:r>
        <w:fldChar w:fldCharType="begin"/>
      </w:r>
      <w:r>
        <w:instrText> SEQ Table \* ARABIC </w:instrText>
      </w:r>
      <w:r>
        <w:fldChar w:fldCharType="separate"/>
      </w:r>
      <w:r w:rsidR="00BA30DA">
        <w:rPr>
          <w:noProof/>
        </w:rPr>
        <w:t>5</w:t>
      </w:r>
      <w:r>
        <w:fldChar w:fldCharType="end"/>
      </w:r>
      <w:r w:rsidRPr="00DA79C8">
        <w:t xml:space="preserve"> </w:t>
      </w:r>
      <w:r w:rsidR="007C03F0">
        <w:t>Calculated</w:t>
      </w:r>
      <w:r w:rsidRPr="00DA79C8">
        <w:t xml:space="preserve"> return temperatures for SWEP E8LASN-Wx20 PHE</w:t>
      </w:r>
      <w:r w:rsidRPr="00DA79C8" w:rsidR="00D12248">
        <w:t xml:space="preserve"> at 50 °C </w:t>
      </w:r>
      <w:r w:rsidRPr="00DA79C8" w:rsidR="00DA79C8">
        <w:t>secondary flow temperature</w:t>
      </w:r>
      <w:r w:rsidR="007C03F0">
        <w:t xml:space="preserve"> (provided by SWEP)</w:t>
      </w:r>
    </w:p>
    <w:p w:rsidR="007C03F0" w:rsidP="007C03F0" w:rsidRDefault="00C913E6" w14:paraId="026EC237" w14:textId="3E630444">
      <w:r>
        <w:t>From a selection of previous tests, the approximate impact that each heat load test has on the final DHW VWART is approximately:</w:t>
      </w:r>
    </w:p>
    <w:p w:rsidR="00C913E6" w:rsidP="00C913E6" w:rsidRDefault="00C913E6" w14:paraId="6D7825A5" w14:textId="4DF7479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C913E6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 xml:space="preserve"> kW – 50%</w:t>
      </w:r>
    </w:p>
    <w:p w:rsidR="00C913E6" w:rsidP="00C913E6" w:rsidRDefault="00D111CE" w14:paraId="6BE35A2C" w14:textId="47ADC361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 kW – 20%</w:t>
      </w:r>
    </w:p>
    <w:p w:rsidR="00D111CE" w:rsidP="00C913E6" w:rsidRDefault="00D111CE" w14:paraId="0FE0BC8C" w14:textId="39595FF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 kW – 30%</w:t>
      </w:r>
    </w:p>
    <w:p w:rsidRPr="00C913E6" w:rsidR="007C03F0" w:rsidP="007C03F0" w:rsidRDefault="00D111CE" w14:paraId="79823B3E" w14:textId="3849F4AD">
      <w:pPr>
        <w:rPr>
          <w:rFonts w:cstheme="minorHAnsi"/>
          <w:sz w:val="28"/>
          <w:szCs w:val="28"/>
        </w:rPr>
      </w:pPr>
      <w:r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 xml:space="preserve">Therefore, the approximate impact of </w:t>
      </w:r>
      <w:r w:rsidR="002A7A47">
        <w:rPr>
          <w:rFonts w:cstheme="minorHAnsi"/>
          <w:sz w:val="24"/>
          <w:szCs w:val="24"/>
        </w:rPr>
        <w:t xml:space="preserve">reducing the primary DH flow temperature from 60 </w:t>
      </w:r>
      <w:r w:rsidRPr="005418B3" w:rsidR="002A7A47">
        <w:rPr>
          <w:rFonts w:eastAsiaTheme="minorEastAsia" w:cstheme="minorHAnsi"/>
          <w:sz w:val="24"/>
          <w:szCs w:val="24"/>
        </w:rPr>
        <w:t>°C</w:t>
      </w:r>
      <w:r w:rsidR="002A7A47">
        <w:rPr>
          <w:rFonts w:eastAsiaTheme="minorEastAsia" w:cstheme="minorHAnsi"/>
          <w:sz w:val="24"/>
          <w:szCs w:val="24"/>
        </w:rPr>
        <w:t xml:space="preserve"> to </w:t>
      </w:r>
      <w:r w:rsidR="00A07725">
        <w:rPr>
          <w:rFonts w:eastAsiaTheme="minorEastAsia" w:cstheme="minorHAnsi"/>
          <w:sz w:val="24"/>
          <w:szCs w:val="24"/>
        </w:rPr>
        <w:t xml:space="preserve">55 </w:t>
      </w:r>
      <w:r w:rsidRPr="005418B3" w:rsidR="00A07725">
        <w:rPr>
          <w:rFonts w:eastAsiaTheme="minorEastAsia" w:cstheme="minorHAnsi"/>
          <w:sz w:val="24"/>
          <w:szCs w:val="24"/>
        </w:rPr>
        <w:t>°C</w:t>
      </w:r>
      <w:r w:rsidR="00A07725">
        <w:rPr>
          <w:rFonts w:eastAsiaTheme="minorEastAsia" w:cstheme="minorHAnsi"/>
          <w:sz w:val="24"/>
          <w:szCs w:val="24"/>
        </w:rPr>
        <w:t xml:space="preserve"> on the DHW VWART for this specific PHE would be a </w:t>
      </w:r>
      <w:r w:rsidRPr="00533AAC" w:rsidR="00A07725">
        <w:rPr>
          <w:rFonts w:eastAsiaTheme="minorEastAsia" w:cstheme="minorHAnsi"/>
          <w:b/>
          <w:bCs/>
          <w:sz w:val="24"/>
          <w:szCs w:val="24"/>
        </w:rPr>
        <w:t>4.6 °C</w:t>
      </w:r>
      <w:r w:rsidR="00A07725">
        <w:rPr>
          <w:rFonts w:eastAsiaTheme="minorEastAsia" w:cstheme="minorHAnsi"/>
          <w:sz w:val="24"/>
          <w:szCs w:val="24"/>
        </w:rPr>
        <w:t xml:space="preserve"> increase.</w:t>
      </w:r>
    </w:p>
    <w:p w:rsidR="00FD2AF0" w:rsidP="00A07725" w:rsidRDefault="00A07725" w14:paraId="7E6AF9A4" w14:textId="071AD077">
      <w:r>
        <w:t>A second PHE which has a higher performance a</w:t>
      </w:r>
      <w:r w:rsidR="005E1F87">
        <w:t xml:space="preserve">nd is used on several HIUs that have been tested under the existing BESA HIU test regime was also modelled. </w:t>
      </w:r>
      <w:r>
        <w:t xml:space="preserve"> </w:t>
      </w:r>
    </w:p>
    <w:tbl>
      <w:tblPr>
        <w:tblW w:w="9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923"/>
        <w:gridCol w:w="3260"/>
      </w:tblGrid>
      <w:tr w:rsidR="00DA79C8" w:rsidTr="003047C4" w14:paraId="077B4970" w14:textId="77777777">
        <w:trPr>
          <w:trHeight w:val="20"/>
        </w:trPr>
        <w:tc>
          <w:tcPr>
            <w:tcW w:w="18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DA79C8" w:rsidP="003047C4" w:rsidRDefault="00DA79C8" w14:paraId="130A9E7A" w14:textId="77777777">
            <w:pPr>
              <w:pStyle w:val="Style1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Heat Load (kW)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DA79C8" w:rsidP="003047C4" w:rsidRDefault="00DA79C8" w14:paraId="196E5DAD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DH Flow Temp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</w:p>
        </w:tc>
        <w:tc>
          <w:tcPr>
            <w:tcW w:w="19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7C03F0" w:rsidR="00DA79C8" w:rsidP="003047C4" w:rsidRDefault="00DA79C8" w14:paraId="3A0C87E5" w14:textId="77777777">
            <w:pPr>
              <w:pStyle w:val="Style1"/>
              <w:jc w:val="center"/>
            </w:pPr>
            <w:r w:rsidRPr="007C03F0">
              <w:t>Return Temp (°C)</w:t>
            </w:r>
          </w:p>
        </w:tc>
        <w:tc>
          <w:tcPr>
            <w:tcW w:w="3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4F81BD" w:themeFill="accent1"/>
          </w:tcPr>
          <w:p w:rsidRPr="005418B3" w:rsidR="00DA79C8" w:rsidP="003047C4" w:rsidRDefault="00DA79C8" w14:paraId="0DC63210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Increase in DH Return Temp (</w:t>
            </w:r>
            <w:r w:rsidRPr="00FC3C46">
              <w:rPr>
                <w:rFonts w:eastAsiaTheme="minorEastAsia"/>
                <w:lang w:val="en-US"/>
              </w:rPr>
              <w:t>°C</w:t>
            </w:r>
            <w:r>
              <w:rPr>
                <w:rFonts w:cstheme="minorHAnsi"/>
                <w:szCs w:val="24"/>
              </w:rPr>
              <w:t>)</w:t>
            </w:r>
          </w:p>
        </w:tc>
      </w:tr>
      <w:tr w:rsidR="007C03F0" w:rsidTr="003047C4" w14:paraId="67A04723" w14:textId="77777777">
        <w:trPr>
          <w:trHeight w:val="83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7C03F0" w:rsidP="007C03F0" w:rsidRDefault="007C03F0" w14:paraId="1FBCF4F4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8</w:t>
            </w:r>
          </w:p>
          <w:p w:rsidRPr="005418B3" w:rsidR="007C03F0" w:rsidP="007C03F0" w:rsidRDefault="007C03F0" w14:paraId="2F0DEF03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44970CAC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71CE005E" w14:textId="7EA1AFF2">
            <w:pPr>
              <w:pStyle w:val="Style1"/>
              <w:jc w:val="center"/>
            </w:pPr>
            <w:r w:rsidRPr="007C03F0">
              <w:t>11.84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7C03F0" w:rsidR="007C03F0" w:rsidP="007C03F0" w:rsidRDefault="007C03F0" w14:paraId="06F106D8" w14:textId="0224C7F6">
            <w:pPr>
              <w:pStyle w:val="Style1"/>
              <w:jc w:val="center"/>
            </w:pPr>
            <w:r w:rsidRPr="007C03F0">
              <w:t>2.45</w:t>
            </w:r>
          </w:p>
        </w:tc>
      </w:tr>
      <w:tr w:rsidR="007C03F0" w:rsidTr="003047C4" w14:paraId="0A81F711" w14:textId="77777777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7C03F0" w:rsidP="007C03F0" w:rsidRDefault="007C03F0" w14:paraId="0AD5EC2D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4BD22163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57579ECB" w14:textId="29EC37C9">
            <w:pPr>
              <w:pStyle w:val="Style1"/>
              <w:jc w:val="center"/>
            </w:pPr>
            <w:r w:rsidRPr="007C03F0">
              <w:t>14.29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:rsidRPr="007C03F0" w:rsidR="007C03F0" w:rsidP="007C03F0" w:rsidRDefault="007C03F0" w14:paraId="5773A4B1" w14:textId="77777777">
            <w:pPr>
              <w:pStyle w:val="Style1"/>
              <w:jc w:val="center"/>
            </w:pPr>
          </w:p>
        </w:tc>
      </w:tr>
      <w:tr w:rsidR="007C03F0" w:rsidTr="003047C4" w14:paraId="0FC4259B" w14:textId="77777777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7C03F0" w:rsidP="007C03F0" w:rsidRDefault="007C03F0" w14:paraId="36EFF5B5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15</w:t>
            </w:r>
          </w:p>
          <w:p w:rsidRPr="005418B3" w:rsidR="007C03F0" w:rsidP="007C03F0" w:rsidRDefault="007C03F0" w14:paraId="2EB1F2E0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7BBF5835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76A7EB7A" w14:textId="3019CE36">
            <w:pPr>
              <w:pStyle w:val="Style1"/>
              <w:jc w:val="center"/>
            </w:pPr>
            <w:r w:rsidRPr="007C03F0">
              <w:t>13.89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7C03F0" w:rsidR="007C03F0" w:rsidP="007C03F0" w:rsidRDefault="007C03F0" w14:paraId="23019BD6" w14:textId="463AB616">
            <w:pPr>
              <w:pStyle w:val="Style1"/>
              <w:jc w:val="center"/>
            </w:pPr>
            <w:r w:rsidRPr="007C03F0">
              <w:t>3.64</w:t>
            </w:r>
          </w:p>
        </w:tc>
      </w:tr>
      <w:tr w:rsidR="007C03F0" w:rsidTr="003047C4" w14:paraId="75BED908" w14:textId="77777777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7C03F0" w:rsidP="007C03F0" w:rsidRDefault="007C03F0" w14:paraId="72E35C02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174DBB7B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1C1E0FD0" w14:textId="0E7A2078">
            <w:pPr>
              <w:pStyle w:val="Style1"/>
              <w:jc w:val="center"/>
            </w:pPr>
            <w:r w:rsidRPr="007C03F0">
              <w:t>17.53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 w:rsidRPr="007C03F0" w:rsidR="007C03F0" w:rsidP="007C03F0" w:rsidRDefault="007C03F0" w14:paraId="485165E5" w14:textId="77777777">
            <w:pPr>
              <w:pStyle w:val="Style1"/>
              <w:jc w:val="center"/>
            </w:pPr>
          </w:p>
        </w:tc>
      </w:tr>
      <w:tr w:rsidR="007C03F0" w:rsidTr="003047C4" w14:paraId="406B8D75" w14:textId="77777777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5418B3" w:rsidR="007C03F0" w:rsidP="007C03F0" w:rsidRDefault="007C03F0" w14:paraId="3598F5C1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20</w:t>
            </w:r>
          </w:p>
          <w:p w:rsidRPr="005418B3" w:rsidR="007C03F0" w:rsidP="007C03F0" w:rsidRDefault="007C03F0" w14:paraId="4818ABAE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757EFF62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24185641" w14:textId="68B56E19">
            <w:pPr>
              <w:pStyle w:val="Style1"/>
              <w:jc w:val="center"/>
            </w:pPr>
            <w:r w:rsidRPr="007C03F0">
              <w:t>15.19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 w:rsidRPr="007C03F0" w:rsidR="007C03F0" w:rsidP="007C03F0" w:rsidRDefault="007C03F0" w14:paraId="54B1B4A2" w14:textId="313A9735">
            <w:pPr>
              <w:pStyle w:val="Style1"/>
              <w:jc w:val="center"/>
            </w:pPr>
            <w:r w:rsidRPr="007C03F0">
              <w:t>4.06</w:t>
            </w:r>
          </w:p>
        </w:tc>
      </w:tr>
      <w:tr w:rsidR="007C03F0" w:rsidTr="003047C4" w14:paraId="0AEF30B5" w14:textId="77777777">
        <w:trPr>
          <w:trHeight w:val="20"/>
        </w:trPr>
        <w:tc>
          <w:tcPr>
            <w:tcW w:w="1833" w:type="dxa"/>
            <w:vMerge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791E9CD7" w14:textId="77777777">
            <w:pPr>
              <w:pStyle w:val="Style1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Pr="005418B3" w:rsidR="007C03F0" w:rsidP="007C03F0" w:rsidRDefault="007C03F0" w14:paraId="2673CE0E" w14:textId="77777777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7C03F0" w:rsidR="007C03F0" w:rsidP="007C03F0" w:rsidRDefault="007C03F0" w14:paraId="43B4C2EE" w14:textId="273642EF">
            <w:pPr>
              <w:pStyle w:val="Style1"/>
              <w:jc w:val="center"/>
            </w:pPr>
            <w:r w:rsidRPr="007C03F0">
              <w:t>19.25</w:t>
            </w:r>
          </w:p>
        </w:tc>
        <w:tc>
          <w:tcPr>
            <w:tcW w:w="3260" w:type="dxa"/>
            <w:vMerge/>
            <w:tcBorders>
              <w:left w:val="nil"/>
              <w:bottom w:val="single" w:color="auto" w:sz="8" w:space="0"/>
              <w:right w:val="single" w:color="auto" w:sz="8" w:space="0"/>
            </w:tcBorders>
          </w:tcPr>
          <w:p w:rsidRPr="005418B3" w:rsidR="007C03F0" w:rsidP="007C03F0" w:rsidRDefault="007C03F0" w14:paraId="08A7081F" w14:textId="7777777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</w:tbl>
    <w:p w:rsidR="00DA79C8" w:rsidP="00FD2AF0" w:rsidRDefault="00FD2AF0" w14:paraId="2BD7DB73" w14:textId="455EDCD9">
      <w:pPr>
        <w:pStyle w:val="Caption"/>
      </w:pPr>
      <w:r>
        <w:t xml:space="preserve">Table </w:t>
      </w:r>
      <w:r>
        <w:fldChar w:fldCharType="begin"/>
      </w:r>
      <w:r>
        <w:instrText> SEQ Table \* ARABIC </w:instrText>
      </w:r>
      <w:r>
        <w:fldChar w:fldCharType="separate"/>
      </w:r>
      <w:r w:rsidR="00BA30DA">
        <w:rPr>
          <w:noProof/>
        </w:rPr>
        <w:t>6</w:t>
      </w:r>
      <w:r>
        <w:fldChar w:fldCharType="end"/>
      </w:r>
      <w:r>
        <w:t xml:space="preserve"> </w:t>
      </w:r>
      <w:r w:rsidRPr="006412AC">
        <w:t>Calculated return temperatures for SWEP E8LASN-Wx</w:t>
      </w:r>
      <w:r>
        <w:t>4</w:t>
      </w:r>
      <w:r w:rsidRPr="006412AC">
        <w:t>0 PHE at 50 °C secondary flow temperature (provided by SWEP)</w:t>
      </w:r>
    </w:p>
    <w:p w:rsidR="005E1F87" w:rsidP="005E1F87" w:rsidRDefault="006B063F" w14:paraId="45633312" w14:textId="08C0E76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</w:t>
      </w:r>
      <w:r w:rsidR="00B86684">
        <w:rPr>
          <w:rFonts w:cstheme="minorHAnsi"/>
          <w:sz w:val="24"/>
          <w:szCs w:val="24"/>
        </w:rPr>
        <w:t xml:space="preserve">e SWEP E8LASN-Wx40 </w:t>
      </w:r>
      <w:r>
        <w:rPr>
          <w:rFonts w:cstheme="minorHAnsi"/>
          <w:sz w:val="24"/>
          <w:szCs w:val="24"/>
        </w:rPr>
        <w:t xml:space="preserve">PHE results in much lower return temperatures under all conditions and a </w:t>
      </w:r>
      <w:r w:rsidR="000B5B21">
        <w:rPr>
          <w:rFonts w:cstheme="minorHAnsi"/>
          <w:sz w:val="24"/>
          <w:szCs w:val="24"/>
        </w:rPr>
        <w:t>smaller increase in return temperature when compared with the first plate heat exchanger (SWEP E8LASN-Wx20)</w:t>
      </w:r>
      <w:r w:rsidR="00B86684">
        <w:rPr>
          <w:rFonts w:cstheme="minorHAnsi"/>
          <w:sz w:val="24"/>
          <w:szCs w:val="24"/>
        </w:rPr>
        <w:t>.</w:t>
      </w:r>
    </w:p>
    <w:p w:rsidR="005E1F87" w:rsidP="005E1F87" w:rsidRDefault="00B86684" w14:paraId="0D93C35A" w14:textId="565D0714">
      <w:pPr>
        <w:rPr>
          <w:rFonts w:eastAsiaTheme="minorEastAsia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5E1F87">
        <w:rPr>
          <w:rFonts w:cstheme="minorHAnsi"/>
          <w:sz w:val="24"/>
          <w:szCs w:val="24"/>
        </w:rPr>
        <w:t xml:space="preserve">he approximate impact of reducing the primary DH flow temperature from 60 </w:t>
      </w:r>
      <w:r w:rsidRPr="005418B3" w:rsidR="005E1F87">
        <w:rPr>
          <w:rFonts w:eastAsiaTheme="minorEastAsia" w:cstheme="minorHAnsi"/>
          <w:sz w:val="24"/>
          <w:szCs w:val="24"/>
        </w:rPr>
        <w:t>°C</w:t>
      </w:r>
      <w:r w:rsidR="005E1F87">
        <w:rPr>
          <w:rFonts w:eastAsiaTheme="minorEastAsia" w:cstheme="minorHAnsi"/>
          <w:sz w:val="24"/>
          <w:szCs w:val="24"/>
        </w:rPr>
        <w:t xml:space="preserve"> to 55 </w:t>
      </w:r>
      <w:r w:rsidRPr="005418B3" w:rsidR="005E1F87">
        <w:rPr>
          <w:rFonts w:eastAsiaTheme="minorEastAsia" w:cstheme="minorHAnsi"/>
          <w:sz w:val="24"/>
          <w:szCs w:val="24"/>
        </w:rPr>
        <w:t>°C</w:t>
      </w:r>
      <w:r w:rsidR="005E1F87">
        <w:rPr>
          <w:rFonts w:eastAsiaTheme="minorEastAsia" w:cstheme="minorHAnsi"/>
          <w:sz w:val="24"/>
          <w:szCs w:val="24"/>
        </w:rPr>
        <w:t xml:space="preserve"> on the DHW VWART for this specific PHE would be a </w:t>
      </w:r>
      <w:r w:rsidRPr="00533AAC" w:rsidR="00533AAC">
        <w:rPr>
          <w:rFonts w:eastAsiaTheme="minorEastAsia" w:cstheme="minorHAnsi"/>
          <w:b/>
          <w:bCs/>
          <w:sz w:val="24"/>
          <w:szCs w:val="24"/>
        </w:rPr>
        <w:t>3.2</w:t>
      </w:r>
      <w:r w:rsidRPr="00533AAC" w:rsidR="005E1F87">
        <w:rPr>
          <w:rFonts w:eastAsiaTheme="minorEastAsia" w:cstheme="minorHAnsi"/>
          <w:b/>
          <w:bCs/>
          <w:sz w:val="24"/>
          <w:szCs w:val="24"/>
        </w:rPr>
        <w:t xml:space="preserve"> °C</w:t>
      </w:r>
      <w:r w:rsidR="005E1F87">
        <w:rPr>
          <w:rFonts w:eastAsiaTheme="minorEastAsia" w:cstheme="minorHAnsi"/>
          <w:sz w:val="24"/>
          <w:szCs w:val="24"/>
        </w:rPr>
        <w:t xml:space="preserve"> increase.</w:t>
      </w:r>
    </w:p>
    <w:p w:rsidR="00533AAC" w:rsidP="005E1F87" w:rsidRDefault="00533AAC" w14:paraId="012CC6C0" w14:textId="2C1679DD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Considering these two modelled PHE</w:t>
      </w:r>
      <w:r w:rsidR="00F04D1B">
        <w:rPr>
          <w:rFonts w:eastAsiaTheme="minorEastAsia" w:cstheme="minorHAnsi"/>
          <w:sz w:val="24"/>
          <w:szCs w:val="24"/>
        </w:rPr>
        <w:t xml:space="preserve">, it is recommended that the VWART increase is </w:t>
      </w:r>
      <w:r w:rsidR="00DC38FB">
        <w:rPr>
          <w:rFonts w:eastAsiaTheme="minorEastAsia" w:cstheme="minorHAnsi"/>
          <w:sz w:val="24"/>
          <w:szCs w:val="24"/>
        </w:rPr>
        <w:t xml:space="preserve">4 </w:t>
      </w:r>
      <w:r w:rsidRPr="005418B3" w:rsidR="00DC38FB">
        <w:rPr>
          <w:rFonts w:eastAsiaTheme="minorEastAsia" w:cstheme="minorHAnsi"/>
          <w:sz w:val="24"/>
          <w:szCs w:val="24"/>
        </w:rPr>
        <w:t>°C</w:t>
      </w:r>
      <w:r w:rsidR="00DC38FB">
        <w:rPr>
          <w:rFonts w:eastAsiaTheme="minorEastAsia" w:cstheme="minorHAnsi"/>
          <w:sz w:val="24"/>
          <w:szCs w:val="24"/>
        </w:rPr>
        <w:t xml:space="preserve">, which would result in a DHW VWART </w:t>
      </w:r>
      <w:r w:rsidR="007040B1">
        <w:rPr>
          <w:rFonts w:eastAsiaTheme="minorEastAsia" w:cstheme="minorHAnsi"/>
          <w:sz w:val="24"/>
          <w:szCs w:val="24"/>
        </w:rPr>
        <w:t xml:space="preserve">from 23 </w:t>
      </w:r>
      <w:r w:rsidRPr="00FC3C46" w:rsidR="007040B1">
        <w:t>°C</w:t>
      </w:r>
      <w:r w:rsidR="007040B1">
        <w:rPr>
          <w:rFonts w:eastAsiaTheme="minorEastAsia" w:cstheme="minorHAnsi"/>
          <w:sz w:val="24"/>
          <w:szCs w:val="24"/>
        </w:rPr>
        <w:t xml:space="preserve"> to</w:t>
      </w:r>
      <w:r w:rsidR="00DC38FB">
        <w:rPr>
          <w:rFonts w:eastAsiaTheme="minorEastAsia" w:cstheme="minorHAnsi"/>
          <w:sz w:val="24"/>
          <w:szCs w:val="24"/>
        </w:rPr>
        <w:t xml:space="preserve"> 27 </w:t>
      </w:r>
      <w:r w:rsidRPr="005418B3" w:rsidR="00DC38FB">
        <w:rPr>
          <w:rFonts w:eastAsiaTheme="minorEastAsia" w:cstheme="minorHAnsi"/>
          <w:sz w:val="24"/>
          <w:szCs w:val="24"/>
        </w:rPr>
        <w:t>°C</w:t>
      </w:r>
      <w:r w:rsidR="00DC38FB">
        <w:rPr>
          <w:rFonts w:eastAsiaTheme="minorEastAsia" w:cstheme="minorHAnsi"/>
          <w:sz w:val="24"/>
          <w:szCs w:val="24"/>
        </w:rPr>
        <w:t xml:space="preserve"> (see </w:t>
      </w:r>
      <w:r w:rsidR="00DC38FB">
        <w:rPr>
          <w:rFonts w:eastAsiaTheme="minorEastAsia" w:cstheme="minorHAnsi"/>
          <w:sz w:val="24"/>
          <w:szCs w:val="24"/>
        </w:rPr>
        <w:fldChar w:fldCharType="begin"/>
      </w:r>
      <w:r w:rsidR="00DC38FB">
        <w:rPr>
          <w:rFonts w:eastAsiaTheme="minorEastAsia" w:cstheme="minorHAnsi"/>
          <w:sz w:val="24"/>
          <w:szCs w:val="24"/>
        </w:rPr>
        <w:instrText xml:space="preserve"> REF _Ref95733192 \h </w:instrText>
      </w:r>
      <w:r w:rsidR="00DC38FB">
        <w:rPr>
          <w:rFonts w:eastAsiaTheme="minorEastAsia" w:cstheme="minorHAnsi"/>
          <w:sz w:val="24"/>
          <w:szCs w:val="24"/>
        </w:rPr>
      </w:r>
      <w:r w:rsidR="00DC38FB">
        <w:rPr>
          <w:rFonts w:eastAsiaTheme="minorEastAsia" w:cstheme="minorHAnsi"/>
          <w:sz w:val="24"/>
          <w:szCs w:val="24"/>
        </w:rPr>
        <w:fldChar w:fldCharType="separate"/>
      </w:r>
      <w:r w:rsidR="00BA30DA">
        <w:t xml:space="preserve">Table </w:t>
      </w:r>
      <w:r w:rsidR="00BA30DA">
        <w:rPr>
          <w:noProof/>
        </w:rPr>
        <w:t>2</w:t>
      </w:r>
      <w:r w:rsidR="00DC38FB">
        <w:rPr>
          <w:rFonts w:eastAsiaTheme="minorEastAsia" w:cstheme="minorHAnsi"/>
          <w:sz w:val="24"/>
          <w:szCs w:val="24"/>
        </w:rPr>
        <w:fldChar w:fldCharType="end"/>
      </w:r>
      <w:r w:rsidR="00DC38FB">
        <w:rPr>
          <w:rFonts w:eastAsiaTheme="minorEastAsia" w:cstheme="minorHAnsi"/>
          <w:sz w:val="24"/>
          <w:szCs w:val="24"/>
        </w:rPr>
        <w:t>).</w:t>
      </w:r>
    </w:p>
    <w:p w:rsidR="008E2D28" w:rsidP="005E1F87" w:rsidRDefault="00247D14" w14:paraId="7E3E7194" w14:textId="59603FB0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Regarding the other VWARTs:</w:t>
      </w:r>
    </w:p>
    <w:p w:rsidRPr="00381736" w:rsidR="00247D14" w:rsidP="00247D14" w:rsidRDefault="00247D14" w14:paraId="5771DABE" w14:textId="1AF6FE10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Space Heating – the selected VWART is already extremely permissive </w:t>
      </w:r>
      <w:r w:rsidR="003E1C50">
        <w:rPr>
          <w:rFonts w:asciiTheme="minorHAnsi" w:hAnsiTheme="minorHAnsi" w:cstheme="minorHAnsi"/>
          <w:sz w:val="24"/>
          <w:szCs w:val="24"/>
        </w:rPr>
        <w:t xml:space="preserve">(based on CP1 2020) </w:t>
      </w:r>
      <w:r>
        <w:rPr>
          <w:rFonts w:asciiTheme="minorHAnsi" w:hAnsiTheme="minorHAnsi" w:cstheme="minorHAnsi"/>
          <w:sz w:val="24"/>
          <w:szCs w:val="24"/>
        </w:rPr>
        <w:t xml:space="preserve">and the vast majority of HIUs do not have issue with achieving the 40 </w:t>
      </w:r>
      <w:r w:rsidRPr="005418B3">
        <w:rPr>
          <w:rFonts w:asciiTheme="minorHAnsi" w:hAnsiTheme="minorHAnsi" w:eastAsiaTheme="minorEastAsia" w:cstheme="minorHAnsi"/>
          <w:sz w:val="24"/>
          <w:szCs w:val="24"/>
          <w:lang w:val="en-US"/>
        </w:rPr>
        <w:t>°C</w:t>
      </w:r>
      <w:r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target.</w:t>
      </w:r>
      <w:r w:rsidR="003E1C50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The reduction in primary DH flow temperature also have a much smaller impact as the forward approach temperature is still 1</w:t>
      </w:r>
      <w:r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>0</w:t>
      </w:r>
      <w:r w:rsidR="003E1C50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</w:t>
      </w:r>
      <w:r w:rsidRPr="005418B3" w:rsidR="003E1C50">
        <w:rPr>
          <w:rFonts w:asciiTheme="minorHAnsi" w:hAnsiTheme="minorHAnsi" w:eastAsiaTheme="minorEastAsia" w:cstheme="minorHAnsi"/>
          <w:sz w:val="24"/>
          <w:szCs w:val="24"/>
          <w:lang w:val="en-US"/>
        </w:rPr>
        <w:t>°C</w:t>
      </w:r>
      <w:r w:rsidR="003E1C50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(</w:t>
      </w:r>
      <w:r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55 </w:t>
      </w:r>
      <w:r w:rsidRPr="005418B3"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>°C</w:t>
      </w:r>
      <w:r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/ 45 </w:t>
      </w:r>
      <w:r w:rsidRPr="005418B3"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>°C</w:t>
      </w:r>
      <w:r w:rsidR="00EC67F8">
        <w:rPr>
          <w:rFonts w:asciiTheme="minorHAnsi" w:hAnsiTheme="minorHAnsi" w:eastAsiaTheme="minorEastAsia" w:cstheme="minorHAnsi"/>
          <w:sz w:val="24"/>
          <w:szCs w:val="24"/>
          <w:lang w:val="en-US"/>
        </w:rPr>
        <w:t>)</w:t>
      </w:r>
      <w:r w:rsidR="00381736">
        <w:rPr>
          <w:rFonts w:asciiTheme="minorHAnsi" w:hAnsiTheme="minorHAnsi" w:eastAsiaTheme="minorEastAsia" w:cstheme="minorHAnsi"/>
          <w:sz w:val="24"/>
          <w:szCs w:val="24"/>
          <w:lang w:val="en-US"/>
        </w:rPr>
        <w:t>.</w:t>
      </w:r>
    </w:p>
    <w:p w:rsidRPr="001121D5" w:rsidR="00236CF3" w:rsidP="001121D5" w:rsidRDefault="00B873F7" w14:paraId="5314934B" w14:textId="472F128D">
      <w:pPr>
        <w:pStyle w:val="ListParagraph"/>
        <w:numPr>
          <w:ilvl w:val="0"/>
          <w:numId w:val="3"/>
        </w:numPr>
        <w:rPr>
          <w:rFonts w:asciiTheme="minorHAnsi" w:hAnsiTheme="minorHAnsi" w:eastAsiaTheme="majorEastAsia" w:cstheme="minorHAnsi"/>
          <w:sz w:val="24"/>
          <w:szCs w:val="24"/>
        </w:rPr>
      </w:pPr>
      <w:r>
        <w:rPr>
          <w:rFonts w:asciiTheme="minorHAnsi" w:hAnsiTheme="minorHAnsi" w:eastAsiaTheme="minorEastAsia" w:cstheme="minorHAnsi"/>
          <w:sz w:val="24"/>
          <w:szCs w:val="24"/>
          <w:lang w:val="en-US"/>
        </w:rPr>
        <w:t>Keep Warm</w:t>
      </w:r>
      <w:r w:rsidR="00381736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– the reduction in primary DH flow temperature is likely to have a comparatively small impact on the VWART.</w:t>
      </w:r>
      <w:r w:rsidR="00A84A3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Due to the lower DH flow temperature, t</w:t>
      </w:r>
      <w:r w:rsidR="00381736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he </w:t>
      </w:r>
      <w:r w:rsidR="00A84A3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DH return temperature is expected to be </w:t>
      </w:r>
      <w:r w:rsidR="00A30571">
        <w:rPr>
          <w:rFonts w:asciiTheme="minorHAnsi" w:hAnsiTheme="minorHAnsi" w:eastAsiaTheme="minorEastAsia" w:cstheme="minorHAnsi"/>
          <w:sz w:val="24"/>
          <w:szCs w:val="24"/>
          <w:lang w:val="en-US"/>
        </w:rPr>
        <w:t>lower,</w:t>
      </w:r>
      <w:r w:rsidR="00A84A3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but </w:t>
      </w:r>
      <w:r w:rsidR="00142F1C">
        <w:rPr>
          <w:rFonts w:asciiTheme="minorHAnsi" w:hAnsiTheme="minorHAnsi" w:eastAsiaTheme="minorEastAsia" w:cstheme="minorHAnsi"/>
          <w:sz w:val="24"/>
          <w:szCs w:val="24"/>
          <w:lang w:val="en-US"/>
        </w:rPr>
        <w:t>a greater volume of water will be required to maintain the PHE temperature.</w:t>
      </w:r>
      <w:r w:rsidR="00A84A38">
        <w:rPr>
          <w:rFonts w:asciiTheme="minorHAnsi" w:hAnsiTheme="minorHAnsi" w:eastAsiaTheme="minorEastAsia" w:cstheme="minorHAnsi"/>
          <w:sz w:val="24"/>
          <w:szCs w:val="24"/>
          <w:lang w:val="en-US"/>
        </w:rPr>
        <w:t xml:space="preserve"> </w:t>
      </w:r>
    </w:p>
    <w:p w:rsidRPr="005F4D59" w:rsidR="003F027B" w:rsidP="009B3E55" w:rsidRDefault="0068185E" w14:paraId="09B579B3" w14:textId="12474451">
      <w:pPr>
        <w:pStyle w:val="Heading2"/>
        <w:rPr/>
      </w:pPr>
      <w:r w:rsidR="0068185E">
        <w:rPr/>
        <w:t>Recommendation</w:t>
      </w:r>
    </w:p>
    <w:p w:rsidR="00C643CE" w:rsidP="003F027B" w:rsidRDefault="00C643CE" w14:paraId="30319B00" w14:textId="51AE7DE5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The following values are recommended as the VWART pass thresholds for the proposed low and high temperature tests.</w:t>
      </w:r>
    </w:p>
    <w:p w:rsidRPr="0068185E" w:rsidR="000F1582" w:rsidP="003F027B" w:rsidRDefault="000F1582" w14:paraId="37C5414C" w14:textId="0D72610E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Due to the significant changes to the </w:t>
      </w:r>
      <w:r w:rsidR="00C32C3E">
        <w:rPr>
          <w:rFonts w:cstheme="minorHAnsi"/>
          <w:lang w:val="en-GB"/>
        </w:rPr>
        <w:t xml:space="preserve">testing parameters and Overall VWART calculation methodology, an Overall VWART is not currently proposed. This will be reviewed </w:t>
      </w:r>
      <w:r w:rsidR="00D902AF">
        <w:rPr>
          <w:rFonts w:cstheme="minorHAnsi"/>
          <w:lang w:val="en-GB"/>
        </w:rPr>
        <w:t>and implemented in future test regimes.</w:t>
      </w:r>
    </w:p>
    <w:p w:rsidRPr="00C643CE" w:rsidR="003F027B" w:rsidP="003F027B" w:rsidRDefault="00C643CE" w14:paraId="2146745E" w14:textId="1448847D">
      <w:pPr>
        <w:rPr>
          <w:rFonts w:cstheme="minorHAnsi"/>
          <w:b/>
          <w:bCs/>
          <w:lang w:val="en-GB"/>
        </w:rPr>
      </w:pPr>
      <w:r w:rsidRPr="00C643CE">
        <w:rPr>
          <w:rFonts w:cstheme="minorHAnsi"/>
          <w:b/>
          <w:bCs/>
          <w:lang w:val="en-GB"/>
        </w:rPr>
        <w:t>High Temperature test</w:t>
      </w:r>
    </w:p>
    <w:tbl>
      <w:tblPr>
        <w:tblStyle w:val="TableGrid"/>
        <w:tblW w:w="3425" w:type="dxa"/>
        <w:tblLook w:val="04A0" w:firstRow="1" w:lastRow="0" w:firstColumn="1" w:lastColumn="0" w:noHBand="0" w:noVBand="1"/>
      </w:tblPr>
      <w:tblGrid>
        <w:gridCol w:w="1721"/>
        <w:gridCol w:w="1704"/>
      </w:tblGrid>
      <w:tr w:rsidR="00C643CE" w:rsidTr="00C643CE" w14:paraId="51678BDB" w14:textId="77777777">
        <w:tc>
          <w:tcPr>
            <w:tcW w:w="1721" w:type="dxa"/>
            <w:shd w:val="clear" w:color="auto" w:fill="4F81BD" w:themeFill="accent1"/>
          </w:tcPr>
          <w:p w:rsidR="00C643CE" w:rsidP="003047C4" w:rsidRDefault="00C643CE" w14:paraId="68BF2A51" w14:textId="77777777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:rsidR="00C643CE" w:rsidP="003047C4" w:rsidRDefault="00C643CE" w14:paraId="08C7585F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</w:tr>
      <w:tr w:rsidR="00C643CE" w:rsidTr="00C643CE" w14:paraId="2CEFA477" w14:textId="77777777">
        <w:tc>
          <w:tcPr>
            <w:tcW w:w="1721" w:type="dxa"/>
          </w:tcPr>
          <w:p w:rsidR="00C643CE" w:rsidP="003047C4" w:rsidRDefault="00C643CE" w14:paraId="0C6D25D5" w14:textId="77777777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:rsidR="00C643CE" w:rsidP="003047C4" w:rsidRDefault="00C643CE" w14:paraId="5251049D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</w:tr>
      <w:tr w:rsidR="00C643CE" w:rsidTr="00C643CE" w14:paraId="5BD41BA1" w14:textId="77777777">
        <w:tc>
          <w:tcPr>
            <w:tcW w:w="1721" w:type="dxa"/>
          </w:tcPr>
          <w:p w:rsidR="00C643CE" w:rsidP="003047C4" w:rsidRDefault="00C643CE" w14:paraId="00852C25" w14:textId="77777777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:rsidR="00C643CE" w:rsidP="003047C4" w:rsidRDefault="00C643CE" w14:paraId="0FFB42CA" w14:textId="7481483A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4B1EE1">
              <w:rPr>
                <w:lang w:val="en-GB"/>
              </w:rPr>
              <w:t>0</w:t>
            </w:r>
          </w:p>
        </w:tc>
      </w:tr>
      <w:tr w:rsidR="00C643CE" w:rsidTr="00C643CE" w14:paraId="4B663E61" w14:textId="77777777">
        <w:tc>
          <w:tcPr>
            <w:tcW w:w="1721" w:type="dxa"/>
          </w:tcPr>
          <w:p w:rsidR="00C643CE" w:rsidP="003047C4" w:rsidRDefault="00B873F7" w14:paraId="7334C983" w14:textId="6216ED4D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:rsidR="00C643CE" w:rsidP="003047C4" w:rsidRDefault="00C643CE" w14:paraId="4B239CD4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</w:tr>
    </w:tbl>
    <w:p w:rsidR="00C643CE" w:rsidP="003F027B" w:rsidRDefault="00C643CE" w14:paraId="1118353D" w14:textId="77777777">
      <w:pPr>
        <w:rPr>
          <w:rFonts w:cstheme="minorHAnsi"/>
          <w:lang w:val="en-GB"/>
        </w:rPr>
      </w:pPr>
    </w:p>
    <w:p w:rsidRPr="00C643CE" w:rsidR="00C643CE" w:rsidP="003F027B" w:rsidRDefault="00C643CE" w14:paraId="5DAA5F16" w14:textId="75E2B658">
      <w:pPr>
        <w:rPr>
          <w:rFonts w:cstheme="minorHAnsi"/>
          <w:b/>
          <w:bCs/>
          <w:lang w:val="en-GB"/>
        </w:rPr>
      </w:pPr>
      <w:r w:rsidRPr="00C643CE">
        <w:rPr>
          <w:rFonts w:cstheme="minorHAnsi"/>
          <w:b/>
          <w:bCs/>
          <w:lang w:val="en-GB"/>
        </w:rPr>
        <w:t>Low Temperature test</w:t>
      </w:r>
    </w:p>
    <w:tbl>
      <w:tblPr>
        <w:tblStyle w:val="TableGrid"/>
        <w:tblW w:w="3397" w:type="dxa"/>
        <w:tblLook w:val="04A0" w:firstRow="1" w:lastRow="0" w:firstColumn="1" w:lastColumn="0" w:noHBand="0" w:noVBand="1"/>
      </w:tblPr>
      <w:tblGrid>
        <w:gridCol w:w="1696"/>
        <w:gridCol w:w="1701"/>
      </w:tblGrid>
      <w:tr w:rsidR="00C643CE" w:rsidTr="00C643CE" w14:paraId="0E61CA29" w14:textId="77777777">
        <w:tc>
          <w:tcPr>
            <w:tcW w:w="1696" w:type="dxa"/>
            <w:shd w:val="clear" w:color="auto" w:fill="4F81BD" w:themeFill="accent1"/>
          </w:tcPr>
          <w:p w:rsidR="00C643CE" w:rsidP="003047C4" w:rsidRDefault="00C643CE" w14:paraId="593A5455" w14:textId="77777777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1" w:type="dxa"/>
            <w:shd w:val="clear" w:color="auto" w:fill="4F81BD" w:themeFill="accent1"/>
          </w:tcPr>
          <w:p w:rsidR="00C643CE" w:rsidP="003047C4" w:rsidRDefault="00C643CE" w14:paraId="2DC2346B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</w:tr>
      <w:tr w:rsidR="00C643CE" w:rsidTr="00C643CE" w14:paraId="690CB67B" w14:textId="77777777">
        <w:tc>
          <w:tcPr>
            <w:tcW w:w="1696" w:type="dxa"/>
          </w:tcPr>
          <w:p w:rsidR="00C643CE" w:rsidP="003047C4" w:rsidRDefault="00C643CE" w14:paraId="58953FD7" w14:textId="77777777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1" w:type="dxa"/>
          </w:tcPr>
          <w:p w:rsidR="00C643CE" w:rsidP="003047C4" w:rsidRDefault="00C643CE" w14:paraId="70BEF6BD" w14:textId="0F27C14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</w:tr>
      <w:tr w:rsidR="00C643CE" w:rsidTr="00C643CE" w14:paraId="43A8AAE8" w14:textId="77777777">
        <w:tc>
          <w:tcPr>
            <w:tcW w:w="1696" w:type="dxa"/>
          </w:tcPr>
          <w:p w:rsidR="00C643CE" w:rsidP="003047C4" w:rsidRDefault="00C643CE" w14:paraId="27C17669" w14:textId="77777777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1" w:type="dxa"/>
          </w:tcPr>
          <w:p w:rsidR="00C643CE" w:rsidP="003047C4" w:rsidRDefault="00C643CE" w14:paraId="43E858EF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</w:tr>
      <w:tr w:rsidR="00C643CE" w:rsidTr="00C643CE" w14:paraId="5C75AF39" w14:textId="77777777">
        <w:tc>
          <w:tcPr>
            <w:tcW w:w="1696" w:type="dxa"/>
          </w:tcPr>
          <w:p w:rsidR="00C643CE" w:rsidP="003047C4" w:rsidRDefault="00B873F7" w14:paraId="38B15734" w14:textId="58AFA6D5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1" w:type="dxa"/>
          </w:tcPr>
          <w:p w:rsidR="00C643CE" w:rsidP="003047C4" w:rsidRDefault="00C643CE" w14:paraId="066B4654" w14:textId="7777777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</w:tr>
    </w:tbl>
    <w:p w:rsidR="009A35B4" w:rsidP="00017C28" w:rsidRDefault="009A35B4" w14:paraId="708F21A9" w14:textId="01F064FB">
      <w:pPr>
        <w:ind w:right="645"/>
        <w:jc w:val="both"/>
        <w:rPr>
          <w:rFonts w:cstheme="minorHAnsi"/>
          <w:b/>
          <w:lang w:val="en-GB"/>
        </w:rPr>
      </w:pPr>
    </w:p>
    <w:p w:rsidRPr="003B79D8" w:rsidR="005F4D59" w:rsidP="005F4D59" w:rsidRDefault="005F4D59" w14:paraId="42986E82" w14:textId="54C36E34">
      <w:pPr>
        <w:rPr>
          <w:rFonts w:cstheme="minorHAnsi"/>
          <w:b/>
          <w:lang w:val="en-GB"/>
        </w:rPr>
      </w:pPr>
    </w:p>
    <w:p w:rsidRPr="005F4D59" w:rsidR="005F4D59" w:rsidP="005F4D59" w:rsidRDefault="005F4D59" w14:paraId="282B1305" w14:textId="77777777">
      <w:pPr>
        <w:rPr>
          <w:lang w:val="en-GB"/>
        </w:rPr>
      </w:pPr>
    </w:p>
    <w:sectPr w:rsidRPr="005F4D59" w:rsidR="005F4D59" w:rsidSect="002945CC">
      <w:headerReference w:type="default" r:id="rId18"/>
      <w:headerReference w:type="first" r:id="rId19"/>
      <w:pgSz w:w="12240" w:h="15840" w:orient="portrait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47C4" w:rsidRDefault="003047C4" w14:paraId="3D4E092C" w14:textId="77777777">
      <w:pPr>
        <w:spacing w:after="0" w:line="240" w:lineRule="auto"/>
      </w:pPr>
      <w:r>
        <w:separator/>
      </w:r>
    </w:p>
  </w:endnote>
  <w:endnote w:type="continuationSeparator" w:id="0">
    <w:p w:rsidR="003047C4" w:rsidRDefault="003047C4" w14:paraId="46A53416" w14:textId="77777777">
      <w:pPr>
        <w:spacing w:after="0" w:line="240" w:lineRule="auto"/>
      </w:pPr>
      <w:r>
        <w:continuationSeparator/>
      </w:r>
    </w:p>
  </w:endnote>
  <w:endnote w:type="continuationNotice" w:id="1">
    <w:p w:rsidR="003047C4" w:rsidRDefault="003047C4" w14:paraId="12B2EA4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ajdhani Semibold">
    <w:altName w:val="Nirmala UI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ajdhani">
    <w:altName w:val="Mangal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47C4" w:rsidRDefault="003047C4" w14:paraId="64DBDB75" w14:textId="77777777">
      <w:pPr>
        <w:spacing w:after="0" w:line="240" w:lineRule="auto"/>
      </w:pPr>
      <w:r>
        <w:separator/>
      </w:r>
    </w:p>
  </w:footnote>
  <w:footnote w:type="continuationSeparator" w:id="0">
    <w:p w:rsidR="003047C4" w:rsidRDefault="003047C4" w14:paraId="5E81C8B1" w14:textId="77777777">
      <w:pPr>
        <w:spacing w:after="0" w:line="240" w:lineRule="auto"/>
      </w:pPr>
      <w:r>
        <w:continuationSeparator/>
      </w:r>
    </w:p>
  </w:footnote>
  <w:footnote w:type="continuationNotice" w:id="1">
    <w:p w:rsidR="003047C4" w:rsidRDefault="003047C4" w14:paraId="0D731BA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3A57" w:rsidP="00CE723C" w:rsidRDefault="00A53A57" w14:paraId="067540BE" w14:textId="77777777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53A57" w:rsidP="00CE723C" w:rsidRDefault="00A53A57" w14:paraId="774B4369" w14:textId="77777777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A98"/>
    <w:multiLevelType w:val="hybridMultilevel"/>
    <w:tmpl w:val="B7862D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D0F30FC"/>
    <w:multiLevelType w:val="hybridMultilevel"/>
    <w:tmpl w:val="C8C4ACC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33A4A7C"/>
    <w:multiLevelType w:val="hybridMultilevel"/>
    <w:tmpl w:val="7832B936"/>
    <w:lvl w:ilvl="0" w:tplc="E368940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42A89CB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8E0FA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EB0DDB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034BB7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2D0E6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F086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2E45C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6AA0A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5484E28"/>
    <w:multiLevelType w:val="hybridMultilevel"/>
    <w:tmpl w:val="4EBE59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688780B"/>
    <w:multiLevelType w:val="multilevel"/>
    <w:tmpl w:val="3C04C65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4660">
    <w:abstractNumId w:val="2"/>
  </w:num>
  <w:num w:numId="2" w16cid:durableId="1268659294">
    <w:abstractNumId w:val="4"/>
  </w:num>
  <w:num w:numId="3" w16cid:durableId="1205677835">
    <w:abstractNumId w:val="3"/>
  </w:num>
  <w:num w:numId="4" w16cid:durableId="195703991">
    <w:abstractNumId w:val="0"/>
  </w:num>
  <w:num w:numId="5" w16cid:durableId="17630758">
    <w:abstractNumId w:val="1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07E04"/>
    <w:rsid w:val="00010B8A"/>
    <w:rsid w:val="0001519E"/>
    <w:rsid w:val="00017C28"/>
    <w:rsid w:val="00024C44"/>
    <w:rsid w:val="000323A8"/>
    <w:rsid w:val="00032B15"/>
    <w:rsid w:val="00034DF6"/>
    <w:rsid w:val="00037430"/>
    <w:rsid w:val="00041321"/>
    <w:rsid w:val="00063809"/>
    <w:rsid w:val="000748F2"/>
    <w:rsid w:val="00081541"/>
    <w:rsid w:val="00087E1D"/>
    <w:rsid w:val="000957C5"/>
    <w:rsid w:val="000A1211"/>
    <w:rsid w:val="000A4606"/>
    <w:rsid w:val="000A514D"/>
    <w:rsid w:val="000A7BA8"/>
    <w:rsid w:val="000B5B21"/>
    <w:rsid w:val="000C6750"/>
    <w:rsid w:val="000D246E"/>
    <w:rsid w:val="000D7182"/>
    <w:rsid w:val="000E2B11"/>
    <w:rsid w:val="000E4169"/>
    <w:rsid w:val="000F1582"/>
    <w:rsid w:val="00100D71"/>
    <w:rsid w:val="00102BEB"/>
    <w:rsid w:val="001068EA"/>
    <w:rsid w:val="00110E35"/>
    <w:rsid w:val="001121D5"/>
    <w:rsid w:val="001123DB"/>
    <w:rsid w:val="00134972"/>
    <w:rsid w:val="00136822"/>
    <w:rsid w:val="00141959"/>
    <w:rsid w:val="00142F1C"/>
    <w:rsid w:val="00146175"/>
    <w:rsid w:val="00151ED7"/>
    <w:rsid w:val="00152F81"/>
    <w:rsid w:val="0016329C"/>
    <w:rsid w:val="00171091"/>
    <w:rsid w:val="00177174"/>
    <w:rsid w:val="001825C8"/>
    <w:rsid w:val="00192E26"/>
    <w:rsid w:val="0019568D"/>
    <w:rsid w:val="001A1D2C"/>
    <w:rsid w:val="001A7657"/>
    <w:rsid w:val="001A795E"/>
    <w:rsid w:val="001C0EDE"/>
    <w:rsid w:val="001C2801"/>
    <w:rsid w:val="001C6C36"/>
    <w:rsid w:val="001E4FA5"/>
    <w:rsid w:val="001F4EA9"/>
    <w:rsid w:val="002003EB"/>
    <w:rsid w:val="00201511"/>
    <w:rsid w:val="002027FD"/>
    <w:rsid w:val="0022707A"/>
    <w:rsid w:val="002355F5"/>
    <w:rsid w:val="00236CF3"/>
    <w:rsid w:val="00241E64"/>
    <w:rsid w:val="0024528F"/>
    <w:rsid w:val="00247D14"/>
    <w:rsid w:val="00251018"/>
    <w:rsid w:val="00252304"/>
    <w:rsid w:val="00254F66"/>
    <w:rsid w:val="002751DB"/>
    <w:rsid w:val="002760B4"/>
    <w:rsid w:val="00280A39"/>
    <w:rsid w:val="002833B4"/>
    <w:rsid w:val="002844BF"/>
    <w:rsid w:val="00284BA4"/>
    <w:rsid w:val="00287A5F"/>
    <w:rsid w:val="002945CC"/>
    <w:rsid w:val="00294A68"/>
    <w:rsid w:val="002A5C83"/>
    <w:rsid w:val="002A7A47"/>
    <w:rsid w:val="002B2232"/>
    <w:rsid w:val="002B25C9"/>
    <w:rsid w:val="002C0D2B"/>
    <w:rsid w:val="002C12E6"/>
    <w:rsid w:val="002D12B8"/>
    <w:rsid w:val="002D62B8"/>
    <w:rsid w:val="002E33CE"/>
    <w:rsid w:val="002E55CB"/>
    <w:rsid w:val="002F0242"/>
    <w:rsid w:val="003047C4"/>
    <w:rsid w:val="003064E2"/>
    <w:rsid w:val="00310AA8"/>
    <w:rsid w:val="00311642"/>
    <w:rsid w:val="00317943"/>
    <w:rsid w:val="003256D9"/>
    <w:rsid w:val="00327E03"/>
    <w:rsid w:val="00335544"/>
    <w:rsid w:val="0033694B"/>
    <w:rsid w:val="00351D4C"/>
    <w:rsid w:val="003521E9"/>
    <w:rsid w:val="00370376"/>
    <w:rsid w:val="00372C88"/>
    <w:rsid w:val="00373DAB"/>
    <w:rsid w:val="00381736"/>
    <w:rsid w:val="00383B04"/>
    <w:rsid w:val="00383CFD"/>
    <w:rsid w:val="00387AD8"/>
    <w:rsid w:val="00394D8B"/>
    <w:rsid w:val="003B2B94"/>
    <w:rsid w:val="003B691F"/>
    <w:rsid w:val="003B79D8"/>
    <w:rsid w:val="003B7B11"/>
    <w:rsid w:val="003C1C3F"/>
    <w:rsid w:val="003C1FBC"/>
    <w:rsid w:val="003D3199"/>
    <w:rsid w:val="003E1C50"/>
    <w:rsid w:val="003E4BC6"/>
    <w:rsid w:val="003E5776"/>
    <w:rsid w:val="003F027B"/>
    <w:rsid w:val="003F7809"/>
    <w:rsid w:val="00403605"/>
    <w:rsid w:val="00412AAC"/>
    <w:rsid w:val="004154FF"/>
    <w:rsid w:val="00417615"/>
    <w:rsid w:val="00421E34"/>
    <w:rsid w:val="004250AB"/>
    <w:rsid w:val="00427FAC"/>
    <w:rsid w:val="004322A5"/>
    <w:rsid w:val="00434661"/>
    <w:rsid w:val="004368FD"/>
    <w:rsid w:val="00442888"/>
    <w:rsid w:val="00447479"/>
    <w:rsid w:val="00462B0A"/>
    <w:rsid w:val="0046314B"/>
    <w:rsid w:val="00464259"/>
    <w:rsid w:val="004648BE"/>
    <w:rsid w:val="00471551"/>
    <w:rsid w:val="00472094"/>
    <w:rsid w:val="0047467A"/>
    <w:rsid w:val="004767A9"/>
    <w:rsid w:val="004813E6"/>
    <w:rsid w:val="00482752"/>
    <w:rsid w:val="00483F46"/>
    <w:rsid w:val="00486806"/>
    <w:rsid w:val="00492AE5"/>
    <w:rsid w:val="004B061E"/>
    <w:rsid w:val="004B1EE1"/>
    <w:rsid w:val="004C4E6D"/>
    <w:rsid w:val="004D1D78"/>
    <w:rsid w:val="004D4981"/>
    <w:rsid w:val="004E02FF"/>
    <w:rsid w:val="004E29E7"/>
    <w:rsid w:val="004F41FB"/>
    <w:rsid w:val="004F6EEC"/>
    <w:rsid w:val="004F76B5"/>
    <w:rsid w:val="00503911"/>
    <w:rsid w:val="00505EA4"/>
    <w:rsid w:val="00506DC8"/>
    <w:rsid w:val="00515AC9"/>
    <w:rsid w:val="00533AAC"/>
    <w:rsid w:val="00535478"/>
    <w:rsid w:val="00535B28"/>
    <w:rsid w:val="005418B3"/>
    <w:rsid w:val="0054224D"/>
    <w:rsid w:val="005479E4"/>
    <w:rsid w:val="00552C56"/>
    <w:rsid w:val="00555E6C"/>
    <w:rsid w:val="005730E1"/>
    <w:rsid w:val="00582C43"/>
    <w:rsid w:val="00597041"/>
    <w:rsid w:val="005A5DCA"/>
    <w:rsid w:val="005B5F60"/>
    <w:rsid w:val="005B63A5"/>
    <w:rsid w:val="005B6B1B"/>
    <w:rsid w:val="005C0860"/>
    <w:rsid w:val="005D2B1E"/>
    <w:rsid w:val="005E1F87"/>
    <w:rsid w:val="005E3183"/>
    <w:rsid w:val="005E3B87"/>
    <w:rsid w:val="005F1268"/>
    <w:rsid w:val="005F4D59"/>
    <w:rsid w:val="00606B76"/>
    <w:rsid w:val="006072ED"/>
    <w:rsid w:val="00614063"/>
    <w:rsid w:val="00615EF5"/>
    <w:rsid w:val="00624E9C"/>
    <w:rsid w:val="006432FD"/>
    <w:rsid w:val="00644915"/>
    <w:rsid w:val="0064639A"/>
    <w:rsid w:val="0065050F"/>
    <w:rsid w:val="00650EDB"/>
    <w:rsid w:val="00656077"/>
    <w:rsid w:val="0066179F"/>
    <w:rsid w:val="00662F95"/>
    <w:rsid w:val="006641A7"/>
    <w:rsid w:val="006657FD"/>
    <w:rsid w:val="00671BDF"/>
    <w:rsid w:val="0068185E"/>
    <w:rsid w:val="006940EC"/>
    <w:rsid w:val="006973C3"/>
    <w:rsid w:val="006A0E19"/>
    <w:rsid w:val="006A19D8"/>
    <w:rsid w:val="006A2F96"/>
    <w:rsid w:val="006A78EE"/>
    <w:rsid w:val="006B063F"/>
    <w:rsid w:val="006B3F01"/>
    <w:rsid w:val="006B41D7"/>
    <w:rsid w:val="006C12DA"/>
    <w:rsid w:val="006D0A95"/>
    <w:rsid w:val="006D3AC1"/>
    <w:rsid w:val="006E5807"/>
    <w:rsid w:val="006E6C3A"/>
    <w:rsid w:val="006F270F"/>
    <w:rsid w:val="006F410B"/>
    <w:rsid w:val="00701A1C"/>
    <w:rsid w:val="00702784"/>
    <w:rsid w:val="007040B1"/>
    <w:rsid w:val="00705D1F"/>
    <w:rsid w:val="00706C7A"/>
    <w:rsid w:val="00713D78"/>
    <w:rsid w:val="00715F96"/>
    <w:rsid w:val="00716019"/>
    <w:rsid w:val="00716A98"/>
    <w:rsid w:val="0072196B"/>
    <w:rsid w:val="00727399"/>
    <w:rsid w:val="00727F39"/>
    <w:rsid w:val="00730640"/>
    <w:rsid w:val="00730ED8"/>
    <w:rsid w:val="00733529"/>
    <w:rsid w:val="00733A52"/>
    <w:rsid w:val="00733D50"/>
    <w:rsid w:val="007359CB"/>
    <w:rsid w:val="00742A76"/>
    <w:rsid w:val="007476AF"/>
    <w:rsid w:val="007501EA"/>
    <w:rsid w:val="00750E0C"/>
    <w:rsid w:val="00771ED9"/>
    <w:rsid w:val="00772E4B"/>
    <w:rsid w:val="007758F9"/>
    <w:rsid w:val="007816E4"/>
    <w:rsid w:val="00781A68"/>
    <w:rsid w:val="007873FA"/>
    <w:rsid w:val="007879FC"/>
    <w:rsid w:val="00792F69"/>
    <w:rsid w:val="00795D3A"/>
    <w:rsid w:val="00796AD3"/>
    <w:rsid w:val="007B0853"/>
    <w:rsid w:val="007B37C4"/>
    <w:rsid w:val="007C03F0"/>
    <w:rsid w:val="007C170F"/>
    <w:rsid w:val="007D19D0"/>
    <w:rsid w:val="007F425A"/>
    <w:rsid w:val="007F77DA"/>
    <w:rsid w:val="00803E10"/>
    <w:rsid w:val="008139F6"/>
    <w:rsid w:val="00814A63"/>
    <w:rsid w:val="00820C5E"/>
    <w:rsid w:val="00831D8F"/>
    <w:rsid w:val="00836B55"/>
    <w:rsid w:val="008408AE"/>
    <w:rsid w:val="00841A61"/>
    <w:rsid w:val="008554B7"/>
    <w:rsid w:val="00864AFD"/>
    <w:rsid w:val="008671EC"/>
    <w:rsid w:val="00872A91"/>
    <w:rsid w:val="0087348A"/>
    <w:rsid w:val="00875708"/>
    <w:rsid w:val="008822B1"/>
    <w:rsid w:val="00886D00"/>
    <w:rsid w:val="00890084"/>
    <w:rsid w:val="00890D4C"/>
    <w:rsid w:val="0089122F"/>
    <w:rsid w:val="008A35D0"/>
    <w:rsid w:val="008A3EE5"/>
    <w:rsid w:val="008A59BA"/>
    <w:rsid w:val="008B02E4"/>
    <w:rsid w:val="008B2DCF"/>
    <w:rsid w:val="008C2FC5"/>
    <w:rsid w:val="008C4AB0"/>
    <w:rsid w:val="008E2D28"/>
    <w:rsid w:val="008F0B30"/>
    <w:rsid w:val="008F210D"/>
    <w:rsid w:val="008F3F3C"/>
    <w:rsid w:val="008F63FC"/>
    <w:rsid w:val="0090020B"/>
    <w:rsid w:val="00912591"/>
    <w:rsid w:val="00914BE2"/>
    <w:rsid w:val="00917A03"/>
    <w:rsid w:val="0092684B"/>
    <w:rsid w:val="00930807"/>
    <w:rsid w:val="00934B80"/>
    <w:rsid w:val="00947611"/>
    <w:rsid w:val="009501B8"/>
    <w:rsid w:val="009528B5"/>
    <w:rsid w:val="00953654"/>
    <w:rsid w:val="00956228"/>
    <w:rsid w:val="009673E0"/>
    <w:rsid w:val="00967E59"/>
    <w:rsid w:val="00971A5B"/>
    <w:rsid w:val="00971B61"/>
    <w:rsid w:val="00973C5B"/>
    <w:rsid w:val="00994503"/>
    <w:rsid w:val="009A0391"/>
    <w:rsid w:val="009A35B4"/>
    <w:rsid w:val="009A38EE"/>
    <w:rsid w:val="009B0E05"/>
    <w:rsid w:val="009B37A5"/>
    <w:rsid w:val="009B3E55"/>
    <w:rsid w:val="009C5367"/>
    <w:rsid w:val="009C74B6"/>
    <w:rsid w:val="009D2C75"/>
    <w:rsid w:val="009D55A0"/>
    <w:rsid w:val="009D55EF"/>
    <w:rsid w:val="009D6252"/>
    <w:rsid w:val="009D7A2D"/>
    <w:rsid w:val="009D7C52"/>
    <w:rsid w:val="009E2951"/>
    <w:rsid w:val="009E2B03"/>
    <w:rsid w:val="009F0981"/>
    <w:rsid w:val="009F573F"/>
    <w:rsid w:val="009F5C86"/>
    <w:rsid w:val="00A04B32"/>
    <w:rsid w:val="00A074E9"/>
    <w:rsid w:val="00A07725"/>
    <w:rsid w:val="00A26620"/>
    <w:rsid w:val="00A30571"/>
    <w:rsid w:val="00A309BB"/>
    <w:rsid w:val="00A33458"/>
    <w:rsid w:val="00A40E27"/>
    <w:rsid w:val="00A44A49"/>
    <w:rsid w:val="00A4704B"/>
    <w:rsid w:val="00A470C7"/>
    <w:rsid w:val="00A5067F"/>
    <w:rsid w:val="00A53A57"/>
    <w:rsid w:val="00A53C11"/>
    <w:rsid w:val="00A612AA"/>
    <w:rsid w:val="00A67A92"/>
    <w:rsid w:val="00A75691"/>
    <w:rsid w:val="00A80C55"/>
    <w:rsid w:val="00A84A38"/>
    <w:rsid w:val="00A90E55"/>
    <w:rsid w:val="00A95E9A"/>
    <w:rsid w:val="00AA02C0"/>
    <w:rsid w:val="00AA1757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07D"/>
    <w:rsid w:val="00AF085A"/>
    <w:rsid w:val="00AF2213"/>
    <w:rsid w:val="00B06630"/>
    <w:rsid w:val="00B10495"/>
    <w:rsid w:val="00B236D1"/>
    <w:rsid w:val="00B23882"/>
    <w:rsid w:val="00B266F0"/>
    <w:rsid w:val="00B3183E"/>
    <w:rsid w:val="00B32B04"/>
    <w:rsid w:val="00B36488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56799"/>
    <w:rsid w:val="00B64F50"/>
    <w:rsid w:val="00B661D7"/>
    <w:rsid w:val="00B82125"/>
    <w:rsid w:val="00B84CB3"/>
    <w:rsid w:val="00B86684"/>
    <w:rsid w:val="00B873F7"/>
    <w:rsid w:val="00B878D7"/>
    <w:rsid w:val="00BA0747"/>
    <w:rsid w:val="00BA30DA"/>
    <w:rsid w:val="00BA3279"/>
    <w:rsid w:val="00BA54AF"/>
    <w:rsid w:val="00BA5F7E"/>
    <w:rsid w:val="00BA682E"/>
    <w:rsid w:val="00BB5780"/>
    <w:rsid w:val="00BC763E"/>
    <w:rsid w:val="00BD19E7"/>
    <w:rsid w:val="00BD2F7B"/>
    <w:rsid w:val="00BD41D5"/>
    <w:rsid w:val="00BD7045"/>
    <w:rsid w:val="00BE792F"/>
    <w:rsid w:val="00BF63A8"/>
    <w:rsid w:val="00C02C88"/>
    <w:rsid w:val="00C0781E"/>
    <w:rsid w:val="00C10424"/>
    <w:rsid w:val="00C15187"/>
    <w:rsid w:val="00C314B0"/>
    <w:rsid w:val="00C32C3E"/>
    <w:rsid w:val="00C33405"/>
    <w:rsid w:val="00C36C20"/>
    <w:rsid w:val="00C41EF4"/>
    <w:rsid w:val="00C42053"/>
    <w:rsid w:val="00C45690"/>
    <w:rsid w:val="00C518CC"/>
    <w:rsid w:val="00C524C4"/>
    <w:rsid w:val="00C550F9"/>
    <w:rsid w:val="00C57763"/>
    <w:rsid w:val="00C600E1"/>
    <w:rsid w:val="00C643CE"/>
    <w:rsid w:val="00C67BC9"/>
    <w:rsid w:val="00C905A2"/>
    <w:rsid w:val="00C913E6"/>
    <w:rsid w:val="00C91E83"/>
    <w:rsid w:val="00CA446F"/>
    <w:rsid w:val="00CA68AD"/>
    <w:rsid w:val="00CB11EB"/>
    <w:rsid w:val="00CC19E7"/>
    <w:rsid w:val="00CC2404"/>
    <w:rsid w:val="00CD088C"/>
    <w:rsid w:val="00CE0357"/>
    <w:rsid w:val="00CE723C"/>
    <w:rsid w:val="00D03704"/>
    <w:rsid w:val="00D05BF2"/>
    <w:rsid w:val="00D10EF9"/>
    <w:rsid w:val="00D111CE"/>
    <w:rsid w:val="00D12248"/>
    <w:rsid w:val="00D17077"/>
    <w:rsid w:val="00D21FA2"/>
    <w:rsid w:val="00D22288"/>
    <w:rsid w:val="00D26D9F"/>
    <w:rsid w:val="00D32AAF"/>
    <w:rsid w:val="00D33C66"/>
    <w:rsid w:val="00D36A1B"/>
    <w:rsid w:val="00D36C91"/>
    <w:rsid w:val="00D42DF0"/>
    <w:rsid w:val="00D44894"/>
    <w:rsid w:val="00D5006B"/>
    <w:rsid w:val="00D61501"/>
    <w:rsid w:val="00D63618"/>
    <w:rsid w:val="00D803AE"/>
    <w:rsid w:val="00D87270"/>
    <w:rsid w:val="00D87274"/>
    <w:rsid w:val="00D902AF"/>
    <w:rsid w:val="00D96CD6"/>
    <w:rsid w:val="00DA542F"/>
    <w:rsid w:val="00DA79C8"/>
    <w:rsid w:val="00DB6A90"/>
    <w:rsid w:val="00DC38FB"/>
    <w:rsid w:val="00DC7767"/>
    <w:rsid w:val="00DC7A9D"/>
    <w:rsid w:val="00DD2B61"/>
    <w:rsid w:val="00DD640E"/>
    <w:rsid w:val="00DE1A8D"/>
    <w:rsid w:val="00DE687E"/>
    <w:rsid w:val="00DF2CD2"/>
    <w:rsid w:val="00DF6E92"/>
    <w:rsid w:val="00E100B5"/>
    <w:rsid w:val="00E10C0C"/>
    <w:rsid w:val="00E15561"/>
    <w:rsid w:val="00E1649B"/>
    <w:rsid w:val="00E212AE"/>
    <w:rsid w:val="00E24886"/>
    <w:rsid w:val="00E30ACA"/>
    <w:rsid w:val="00E35A7C"/>
    <w:rsid w:val="00E3628C"/>
    <w:rsid w:val="00E367A8"/>
    <w:rsid w:val="00E42E69"/>
    <w:rsid w:val="00E4518A"/>
    <w:rsid w:val="00E4572D"/>
    <w:rsid w:val="00E53138"/>
    <w:rsid w:val="00E60D6B"/>
    <w:rsid w:val="00E756A1"/>
    <w:rsid w:val="00E76C8B"/>
    <w:rsid w:val="00E77170"/>
    <w:rsid w:val="00E86136"/>
    <w:rsid w:val="00E921EE"/>
    <w:rsid w:val="00E93194"/>
    <w:rsid w:val="00EA09D8"/>
    <w:rsid w:val="00EA09EE"/>
    <w:rsid w:val="00EA18CA"/>
    <w:rsid w:val="00EB1E9C"/>
    <w:rsid w:val="00EB2BAD"/>
    <w:rsid w:val="00EB55AF"/>
    <w:rsid w:val="00EB7DDD"/>
    <w:rsid w:val="00EC090D"/>
    <w:rsid w:val="00EC2F18"/>
    <w:rsid w:val="00EC67F8"/>
    <w:rsid w:val="00EC7BF9"/>
    <w:rsid w:val="00EC7CF5"/>
    <w:rsid w:val="00EE1E4F"/>
    <w:rsid w:val="00EF261C"/>
    <w:rsid w:val="00EF70C1"/>
    <w:rsid w:val="00F02696"/>
    <w:rsid w:val="00F04A4F"/>
    <w:rsid w:val="00F04D1B"/>
    <w:rsid w:val="00F06F98"/>
    <w:rsid w:val="00F12B0F"/>
    <w:rsid w:val="00F316F7"/>
    <w:rsid w:val="00F36708"/>
    <w:rsid w:val="00F43A5F"/>
    <w:rsid w:val="00F4602F"/>
    <w:rsid w:val="00F5063C"/>
    <w:rsid w:val="00F56024"/>
    <w:rsid w:val="00F62BAF"/>
    <w:rsid w:val="00F643B8"/>
    <w:rsid w:val="00F6499B"/>
    <w:rsid w:val="00F77501"/>
    <w:rsid w:val="00F94920"/>
    <w:rsid w:val="00F95286"/>
    <w:rsid w:val="00F96C87"/>
    <w:rsid w:val="00FA39E7"/>
    <w:rsid w:val="00FB517D"/>
    <w:rsid w:val="00FC3C46"/>
    <w:rsid w:val="00FD1C44"/>
    <w:rsid w:val="00FD2AF0"/>
    <w:rsid w:val="00FE19FC"/>
    <w:rsid w:val="00FE22B2"/>
    <w:rsid w:val="00FE5FFC"/>
    <w:rsid w:val="00FE60AA"/>
    <w:rsid w:val="00FF1478"/>
    <w:rsid w:val="00FF1A7E"/>
    <w:rsid w:val="00FF35CE"/>
    <w:rsid w:val="02F48C24"/>
    <w:rsid w:val="1FB9825D"/>
    <w:rsid w:val="216246E4"/>
    <w:rsid w:val="30CD5DEC"/>
    <w:rsid w:val="30D05D40"/>
    <w:rsid w:val="32692E4D"/>
    <w:rsid w:val="32692E4D"/>
    <w:rsid w:val="3404FEAE"/>
    <w:rsid w:val="43B1BCA2"/>
    <w:rsid w:val="4E0F4869"/>
    <w:rsid w:val="4FAB18CA"/>
    <w:rsid w:val="66386B9E"/>
    <w:rsid w:val="685CEB7D"/>
    <w:rsid w:val="6BDE89D1"/>
    <w:rsid w:val="70645D3A"/>
    <w:rsid w:val="773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467C7419-21D2-4F20-B2B1-418090CD4C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9B3E55"/>
    <w:pPr>
      <w:keepNext/>
      <w:keepLines/>
      <w:numPr>
        <w:numId w:val="2"/>
      </w:numPr>
      <w:spacing w:before="240" w:after="0" w:line="259" w:lineRule="auto"/>
      <w:jc w:val="both"/>
      <w:outlineLvl w:val="0"/>
    </w:pPr>
    <w:rPr>
      <w:rFonts w:cs="Rajdhani Semibold" w:eastAsiaTheme="majorEastAsia"/>
      <w:b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9B3E55"/>
    <w:pPr>
      <w:keepNext/>
      <w:keepLines/>
      <w:numPr>
        <w:ilvl w:val="1"/>
        <w:numId w:val="2"/>
      </w:numPr>
      <w:spacing w:before="120" w:after="120" w:line="259" w:lineRule="auto"/>
      <w:jc w:val="both"/>
      <w:outlineLvl w:val="1"/>
    </w:pPr>
    <w:rPr>
      <w:rFonts w:cs="Rajdhani Semibold" w:eastAsiaTheme="majorEastAsia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2"/>
      </w:numPr>
      <w:spacing w:before="160" w:after="120" w:line="259" w:lineRule="auto"/>
      <w:jc w:val="both"/>
      <w:outlineLvl w:val="2"/>
    </w:pPr>
    <w:rPr>
      <w:rFonts w:ascii="Rajdhani Semibold" w:hAnsi="Rajdhani Semibold" w:cs="Rajdhani Semibold" w:eastAsiaTheme="majorEastAsia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hAnsi="Times" w:eastAsia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hAnsi="Trebuchet MS" w:eastAsia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hAnsi="Trebuchet MS" w:eastAsia="Times New Roman" w:cs="Times New Roman"/>
      <w:sz w:val="20"/>
      <w:szCs w:val="20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CC19E7"/>
    <w:rPr>
      <w:rFonts w:ascii="Trebuchet MS" w:hAnsi="Trebuchet MS" w:eastAsia="Times New Roman" w:cs="Times New Roman"/>
      <w:sz w:val="20"/>
      <w:szCs w:val="20"/>
      <w:lang w:val="en-GB"/>
    </w:rPr>
  </w:style>
  <w:style w:type="paragraph" w:styleId="Default" w:customStyle="1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 w:eastAsiaTheme="minorEastAsia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styleId="Heading1Char" w:customStyle="1">
    <w:name w:val="Heading 1 Char"/>
    <w:aliases w:val="[F] H1 Char"/>
    <w:basedOn w:val="DefaultParagraphFont"/>
    <w:link w:val="Heading1"/>
    <w:uiPriority w:val="9"/>
    <w:rsid w:val="009B3E55"/>
    <w:rPr>
      <w:rFonts w:cs="Rajdhani Semibold" w:eastAsiaTheme="majorEastAsia"/>
      <w:b/>
      <w:sz w:val="32"/>
      <w:szCs w:val="32"/>
      <w:lang w:val="en-GB"/>
    </w:rPr>
  </w:style>
  <w:style w:type="character" w:styleId="Heading2Char" w:customStyle="1">
    <w:name w:val="Heading 2 Char"/>
    <w:aliases w:val="[F] H2 Char"/>
    <w:basedOn w:val="DefaultParagraphFont"/>
    <w:link w:val="Heading2"/>
    <w:uiPriority w:val="9"/>
    <w:rsid w:val="009B3E55"/>
    <w:rPr>
      <w:rFonts w:cs="Rajdhani Semibold" w:eastAsiaTheme="majorEastAsia"/>
      <w:b/>
      <w:sz w:val="28"/>
      <w:szCs w:val="28"/>
      <w:lang w:val="en-GB"/>
    </w:rPr>
  </w:style>
  <w:style w:type="character" w:styleId="Heading3Char" w:customStyle="1">
    <w:name w:val="Heading 3 Char"/>
    <w:aliases w:val="[F] H3 Char"/>
    <w:basedOn w:val="DefaultParagraphFont"/>
    <w:link w:val="Heading3"/>
    <w:uiPriority w:val="9"/>
    <w:rsid w:val="00F43A5F"/>
    <w:rPr>
      <w:rFonts w:ascii="Rajdhani Semibold" w:hAnsi="Rajdhani Semibold" w:cs="Rajdhani Semibold" w:eastAsiaTheme="majorEastAsia"/>
      <w:sz w:val="24"/>
      <w:szCs w:val="24"/>
      <w:lang w:val="en-GB"/>
    </w:rPr>
  </w:style>
  <w:style w:type="character" w:styleId="Heading4Char" w:customStyle="1">
    <w:name w:val="Heading 4 Char"/>
    <w:aliases w:val="[F] H4 Char"/>
    <w:basedOn w:val="DefaultParagraphFont"/>
    <w:link w:val="Heading4"/>
    <w:uiPriority w:val="9"/>
    <w:rsid w:val="00F43A5F"/>
    <w:rPr>
      <w:rFonts w:ascii="Rajdhani Semibold" w:hAnsi="Rajdhani Semibold" w:cs="Rajdhani Semibold" w:eastAsiaTheme="majorEastAsia"/>
      <w:sz w:val="24"/>
      <w:szCs w:val="24"/>
      <w:lang w:val="en-GB"/>
    </w:rPr>
  </w:style>
  <w:style w:type="character" w:styleId="Title2Char" w:customStyle="1">
    <w:name w:val="Title 2 Char"/>
    <w:basedOn w:val="DefaultParagraphFont"/>
    <w:link w:val="Title2"/>
    <w:locked/>
    <w:rsid w:val="00F43A5F"/>
    <w:rPr>
      <w:rFonts w:ascii="Rajdhani" w:hAnsi="Rajdhani" w:eastAsiaTheme="majorEastAsia" w:cstheme="majorBidi"/>
      <w:b/>
      <w:spacing w:val="-10"/>
      <w:kern w:val="28"/>
      <w:sz w:val="44"/>
      <w:szCs w:val="44"/>
    </w:rPr>
  </w:style>
  <w:style w:type="paragraph" w:styleId="Title2" w:customStyle="1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43A5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872A91"/>
    <w:pPr>
      <w:spacing w:line="240" w:lineRule="auto"/>
    </w:pPr>
    <w:rPr>
      <w:i/>
      <w:iCs/>
      <w:sz w:val="20"/>
      <w:szCs w:val="18"/>
    </w:rPr>
  </w:style>
  <w:style w:type="paragraph" w:styleId="Style1" w:customStyle="1">
    <w:name w:val="Style1"/>
    <w:basedOn w:val="ListParagraph"/>
    <w:link w:val="Style1Char"/>
    <w:qFormat/>
    <w:rsid w:val="00F56024"/>
    <w:pPr>
      <w:ind w:left="0"/>
    </w:pPr>
    <w:rPr>
      <w:rFonts w:asciiTheme="minorHAnsi" w:hAnsiTheme="minorHAnsi"/>
      <w:sz w:val="24"/>
      <w:lang w:eastAsia="en-GB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A09EE"/>
    <w:rPr>
      <w:rFonts w:ascii="Trebuchet MS" w:hAnsi="Trebuchet MS" w:eastAsia="Times New Roman" w:cs="Times New Roman"/>
      <w:sz w:val="20"/>
      <w:szCs w:val="20"/>
      <w:lang w:val="en-GB"/>
    </w:rPr>
  </w:style>
  <w:style w:type="character" w:styleId="Style1Char" w:customStyle="1">
    <w:name w:val="Style1 Char"/>
    <w:basedOn w:val="ListParagraphChar"/>
    <w:link w:val="Style1"/>
    <w:rsid w:val="00F56024"/>
    <w:rPr>
      <w:rFonts w:ascii="Trebuchet MS" w:hAnsi="Trebuchet MS" w:eastAsia="Times New Roman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36708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F36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png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4/relationships/chartEx" Target="charts/chartEx1.xml" Id="rId12" /><Relationship Type="http://schemas.openxmlformats.org/officeDocument/2006/relationships/image" Target="media/image5.png" Id="rId17" /><Relationship Type="http://schemas.openxmlformats.org/officeDocument/2006/relationships/customXml" Target="../customXml/item2.xml" Id="rId2" /><Relationship Type="http://schemas.openxmlformats.org/officeDocument/2006/relationships/image" Target="media/image4.png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image" Target="media/image3.png" Id="rId15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4/relationships/chartEx" Target="charts/chartEx2.xml" Id="rId14" 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https://besagroup.sharepoint.com/sites/BESAHIUTechnicalCommittee/Shared%20Documents/General/Ratings%20&amp;%20Minimum%20Standards/BESA%20HIU%20Test%20summary%20results%2013%20Dec%2021_Anon.xlsx" TargetMode="External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https://besagroup.sharepoint.com/sites/BESAHIUTechnicalCommittee/Shared%20Documents/General/Ratings%20&amp;%20Minimum%20Standards/BESA%20HIU%20Test%20summary%20results%2013%20Dec%2021_Anon.xlsx" TargetMode="External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'VWART analysis'!$C$5:$C$9</cx:f>
        <cx:lvl ptCount="5" formatCode="General">
          <cx:pt idx="0">55</cx:pt>
          <cx:pt idx="1">37.450000000000003</cx:pt>
          <cx:pt idx="2">33.613793103448273</cx:pt>
          <cx:pt idx="3">28</cx:pt>
          <cx:pt idx="4">26</cx:pt>
        </cx:lvl>
      </cx:numDim>
    </cx:data>
    <cx:data id="1">
      <cx:numDim type="val">
        <cx:f>'VWART analysis'!$D$5:$D$9</cx:f>
        <cx:lvl ptCount="5" formatCode="General">
          <cx:pt idx="0">26.300000000000001</cx:pt>
          <cx:pt idx="1">21</cx:pt>
          <cx:pt idx="2">17.858620689655172</cx:pt>
          <cx:pt idx="3">15</cx:pt>
          <cx:pt idx="4">13</cx:pt>
        </cx:lvl>
      </cx:numDim>
    </cx:data>
    <cx:data id="2">
      <cx:numDim type="val">
        <cx:f>'VWART analysis'!$E$5:$E$9</cx:f>
        <cx:lvl ptCount="5" formatCode="General">
          <cx:pt idx="0">63.600000000000001</cx:pt>
          <cx:pt idx="1">44</cx:pt>
          <cx:pt idx="2">42.758620689655174</cx:pt>
          <cx:pt idx="3">40.649999999999999</cx:pt>
          <cx:pt idx="4">40</cx:pt>
        </cx:lvl>
      </cx:numDim>
    </cx:data>
    <cx:data id="3">
      <cx:numDim type="val">
        <cx:f>'VWART analysis'!$F$5:$F$9</cx:f>
        <cx:lvl ptCount="5" formatCode="General">
          <cx:pt idx="0">59.899999999999999</cx:pt>
          <cx:pt idx="1">45.5</cx:pt>
          <cx:pt idx="2">42.762068965517237</cx:pt>
          <cx:pt idx="3">39</cx:pt>
          <cx:pt idx="4">37</cx:pt>
        </cx:lvl>
      </cx:numDim>
    </cx:data>
  </cx:chartData>
  <cx:chart>
    <cx:plotArea>
      <cx:plotAreaRegion>
        <cx:series layoutId="boxWhisker" uniqueId="{CE71BAEF-6CB7-4D1D-A6A1-ED2679BFEB8C}">
          <cx:tx>
            <cx:txData>
              <cx:f>'VWART analysis'!$C$4</cx:f>
              <cx:v>Overall</cx:v>
            </cx:txData>
          </cx:tx>
          <cx:dataId val="0"/>
          <cx:layoutPr>
            <cx:visibility meanLine="0" meanMarker="1" nonoutliers="0" outliers="1"/>
            <cx:statistics quartileMethod="exclusive"/>
          </cx:layoutPr>
        </cx:series>
        <cx:series layoutId="boxWhisker" uniqueId="{00000001-8CDB-4D4C-A0F4-096F8A89779F}">
          <cx:tx>
            <cx:txData>
              <cx:f>'VWART analysis'!$D$4</cx:f>
              <cx:v>DHW</cx:v>
            </cx:txData>
          </cx:tx>
          <cx:dataId val="1"/>
          <cx:layoutPr>
            <cx:statistics quartileMethod="exclusive"/>
          </cx:layoutPr>
        </cx:series>
        <cx:series layoutId="boxWhisker" uniqueId="{00000002-8CDB-4D4C-A0F4-096F8A89779F}">
          <cx:tx>
            <cx:txData>
              <cx:f>'VWART analysis'!$E$4</cx:f>
              <cx:v>Space Heating </cx:v>
            </cx:txData>
          </cx:tx>
          <cx:dataId val="2"/>
          <cx:layoutPr>
            <cx:statistics quartileMethod="exclusive"/>
          </cx:layoutPr>
        </cx:series>
        <cx:series layoutId="boxWhisker" uniqueId="{00000003-8CDB-4D4C-A0F4-096F8A89779F}">
          <cx:tx>
            <cx:txData>
              <cx:f>'VWART analysis'!$F$4</cx:f>
              <cx:v>Standby</cx:v>
            </cx:txData>
          </cx:tx>
          <cx:dataId val="3"/>
          <cx:layoutPr>
            <cx:statistics quartileMethod="exclusive"/>
          </cx:layoutPr>
        </cx:series>
      </cx:plotAreaRegion>
      <cx:axis id="0" hidden="1">
        <cx:catScaling gapWidth="0.200000003"/>
        <cx:tickLabels/>
      </cx:axis>
      <cx:axis id="1">
        <cx:valScaling min="10"/>
        <cx:title>
          <cx:tx>
            <cx:txData>
              <cx:v>VWART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Calibri" panose="020F0502020204030204"/>
                </a:rPr>
                <a:t>VWART</a:t>
              </a:r>
            </a:p>
          </cx:txPr>
        </cx:title>
        <cx:majorGridlines/>
        <cx:minorGridlines/>
        <cx:tickLabels/>
      </cx:axis>
    </cx:plotArea>
    <cx:legend pos="t" align="ctr" overlay="0"/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'VWART analysis'!$N$5:$N$9</cx:f>
        <cx:lvl ptCount="5" formatCode="General">
          <cx:pt idx="0">46.799999999999997</cx:pt>
          <cx:pt idx="1">38</cx:pt>
          <cx:pt idx="2">34.910344827586208</cx:pt>
          <cx:pt idx="3">31</cx:pt>
          <cx:pt idx="4">26</cx:pt>
        </cx:lvl>
      </cx:numDim>
    </cx:data>
    <cx:data id="1">
      <cx:numDim type="val">
        <cx:f>'VWART analysis'!$O$5:$O$9</cx:f>
        <cx:lvl ptCount="5" formatCode="General">
          <cx:pt idx="0">25.600000000000001</cx:pt>
          <cx:pt idx="1">22</cx:pt>
          <cx:pt idx="2">18.637931034482758</cx:pt>
          <cx:pt idx="3">15.5</cx:pt>
          <cx:pt idx="4">13.800000000000001</cx:pt>
        </cx:lvl>
      </cx:numDim>
    </cx:data>
    <cx:data id="2">
      <cx:numDim type="val">
        <cx:f>'VWART analysis'!$P$5:$P$9</cx:f>
        <cx:lvl ptCount="5" formatCode="General">
          <cx:pt idx="0">47.200000000000003</cx:pt>
          <cx:pt idx="1">36</cx:pt>
          <cx:pt idx="2">35.837931034482757</cx:pt>
          <cx:pt idx="3">35</cx:pt>
          <cx:pt idx="4">34</cx:pt>
        </cx:lvl>
      </cx:numDim>
    </cx:data>
    <cx:data id="3">
      <cx:numDim type="val">
        <cx:f>'VWART analysis'!$Q$5:$Q$9</cx:f>
        <cx:lvl ptCount="5" formatCode="General">
          <cx:pt idx="0">52.200000000000003</cx:pt>
          <cx:pt idx="1">45.5</cx:pt>
          <cx:pt idx="2">43.310344827586206</cx:pt>
          <cx:pt idx="3">40.5</cx:pt>
          <cx:pt idx="4">37</cx:pt>
        </cx:lvl>
      </cx:numDim>
    </cx:data>
  </cx:chartData>
  <cx:chart>
    <cx:title pos="t" align="ctr" overlay="0">
      <cx:tx>
        <cx:txData>
          <cx:v>Low temp test VWART results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Low temp test VWART results</a:t>
          </a:r>
        </a:p>
      </cx:txPr>
    </cx:title>
    <cx:plotArea>
      <cx:plotAreaRegion>
        <cx:series layoutId="boxWhisker" uniqueId="{7E355121-E3EF-4B96-BD79-971E80554FE8}">
          <cx:tx>
            <cx:txData>
              <cx:f>'VWART analysis'!$N$4</cx:f>
              <cx:v>Overall</cx:v>
            </cx:txData>
          </cx:tx>
          <cx:dataId val="0"/>
          <cx:layoutPr>
            <cx:statistics quartileMethod="exclusive"/>
          </cx:layoutPr>
        </cx:series>
        <cx:series layoutId="boxWhisker" uniqueId="{944EA49B-1A0B-4E81-8F6A-DC81C3E3073E}">
          <cx:tx>
            <cx:txData>
              <cx:f>'VWART analysis'!$O$4</cx:f>
              <cx:v>DHW</cx:v>
            </cx:txData>
          </cx:tx>
          <cx:dataId val="1"/>
          <cx:layoutPr>
            <cx:statistics quartileMethod="exclusive"/>
          </cx:layoutPr>
        </cx:series>
        <cx:series layoutId="boxWhisker" uniqueId="{8642121D-413A-4F9C-AFCC-960977F92F04}">
          <cx:tx>
            <cx:txData>
              <cx:f>'VWART analysis'!$P$4</cx:f>
              <cx:v>Space Heating </cx:v>
            </cx:txData>
          </cx:tx>
          <cx:dataId val="2"/>
          <cx:layoutPr>
            <cx:statistics quartileMethod="exclusive"/>
          </cx:layoutPr>
        </cx:series>
        <cx:series layoutId="boxWhisker" uniqueId="{C5542999-1562-4351-BE39-B2C12BDE0489}">
          <cx:tx>
            <cx:txData>
              <cx:f>'VWART analysis'!$Q$4</cx:f>
              <cx:v>Standby</cx:v>
            </cx:txData>
          </cx:tx>
          <cx:dataId val="3"/>
          <cx:layoutPr>
            <cx:statistics quartileMethod="exclusive"/>
          </cx:layoutPr>
        </cx:series>
      </cx:plotAreaRegion>
      <cx:axis id="0" hidden="1">
        <cx:catScaling gapWidth="0.200000003"/>
        <cx:tickLabels/>
      </cx:axis>
      <cx:axis id="1">
        <cx:valScaling min="10"/>
        <cx:title>
          <cx:tx>
            <cx:txData>
              <cx:v>VWART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Calibri" panose="020F0502020204030204"/>
                </a:rPr>
                <a:t>VWART</a:t>
              </a:r>
            </a:p>
          </cx:txPr>
        </cx:title>
        <cx:majorGridlines/>
        <cx:minorGridlines/>
        <cx:tickLabels/>
      </cx:axis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303AC-B4EF-48DE-94D4-DD346ACF3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7065E8-F0A5-4A66-AC8E-704BD1BBE1AE}"/>
</file>

<file path=customXml/itemProps4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cp:lastModifiedBy>Tom Naughton</cp:lastModifiedBy>
  <cp:revision>182</cp:revision>
  <cp:lastPrinted>2022-05-26T19:19:00Z</cp:lastPrinted>
  <dcterms:created xsi:type="dcterms:W3CDTF">2019-10-30T00:13:00Z</dcterms:created>
  <dcterms:modified xsi:type="dcterms:W3CDTF">2022-08-14T16:33:47Z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