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D8B22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6C46B900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18641A6E" w14:textId="361F5D30" w:rsidR="00DC7A9D" w:rsidRPr="0068185E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8240" behindDoc="1" locked="0" layoutInCell="1" allowOverlap="1" wp14:anchorId="6522F935" wp14:editId="09BF4ED2">
            <wp:simplePos x="0" y="0"/>
            <wp:positionH relativeFrom="margin">
              <wp:posOffset>0</wp:posOffset>
            </wp:positionH>
            <wp:positionV relativeFrom="page">
              <wp:posOffset>629920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1984"/>
        <w:gridCol w:w="284"/>
        <w:gridCol w:w="3232"/>
      </w:tblGrid>
      <w:tr w:rsidR="00017C28" w:rsidRPr="0068185E" w14:paraId="286F7613" w14:textId="7C25DBED" w:rsidTr="183B021C">
        <w:tc>
          <w:tcPr>
            <w:tcW w:w="5807" w:type="dxa"/>
            <w:gridSpan w:val="3"/>
          </w:tcPr>
          <w:p w14:paraId="099807CA" w14:textId="4F8BDB60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Technical Note</w:t>
            </w:r>
          </w:p>
        </w:tc>
        <w:tc>
          <w:tcPr>
            <w:tcW w:w="3516" w:type="dxa"/>
            <w:gridSpan w:val="2"/>
          </w:tcPr>
          <w:p w14:paraId="53730896" w14:textId="457037A4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TN</w:t>
            </w:r>
            <w:r w:rsidR="00701A1C" w:rsidRPr="0068185E">
              <w:rPr>
                <w:rFonts w:cstheme="minorHAnsi"/>
                <w:b/>
                <w:sz w:val="32"/>
                <w:szCs w:val="36"/>
              </w:rPr>
              <w:t>-</w:t>
            </w:r>
            <w:r w:rsidR="007C68F8">
              <w:rPr>
                <w:rFonts w:cstheme="minorHAnsi"/>
                <w:b/>
                <w:sz w:val="32"/>
                <w:szCs w:val="36"/>
              </w:rPr>
              <w:t>012</w:t>
            </w:r>
          </w:p>
        </w:tc>
      </w:tr>
      <w:tr w:rsidR="00017C28" w:rsidRPr="0068185E" w14:paraId="3F21FD0F" w14:textId="7F1D3522" w:rsidTr="183B021C">
        <w:tc>
          <w:tcPr>
            <w:tcW w:w="5807" w:type="dxa"/>
            <w:gridSpan w:val="3"/>
          </w:tcPr>
          <w:p w14:paraId="06ECA27B" w14:textId="44F2443B" w:rsidR="00017C28" w:rsidRPr="0068185E" w:rsidRDefault="008B2DCF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FC222B">
              <w:rPr>
                <w:rFonts w:cstheme="minorHAnsi"/>
                <w:sz w:val="22"/>
                <w:szCs w:val="22"/>
              </w:rPr>
              <w:t>All h</w:t>
            </w:r>
            <w:r w:rsidR="00974AF1">
              <w:rPr>
                <w:rFonts w:cstheme="minorHAnsi"/>
                <w:sz w:val="22"/>
                <w:szCs w:val="22"/>
              </w:rPr>
              <w:t>ot water tests</w:t>
            </w:r>
          </w:p>
        </w:tc>
        <w:tc>
          <w:tcPr>
            <w:tcW w:w="3516" w:type="dxa"/>
            <w:gridSpan w:val="2"/>
          </w:tcPr>
          <w:p w14:paraId="1E8C66F8" w14:textId="522782C1" w:rsidR="00017C28" w:rsidRPr="0068185E" w:rsidRDefault="00AD7C39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 no.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747A7B">
              <w:rPr>
                <w:rFonts w:cstheme="minorHAnsi"/>
                <w:sz w:val="22"/>
                <w:szCs w:val="22"/>
              </w:rPr>
              <w:t xml:space="preserve">3a, 3b, </w:t>
            </w:r>
            <w:r w:rsidR="009E3D9B">
              <w:rPr>
                <w:rFonts w:cstheme="minorHAnsi"/>
                <w:sz w:val="22"/>
                <w:szCs w:val="22"/>
              </w:rPr>
              <w:t>4a, 4b, 5a, 5b</w:t>
            </w:r>
          </w:p>
        </w:tc>
      </w:tr>
      <w:tr w:rsidR="003C1C3F" w:rsidRPr="0068185E" w14:paraId="718C8716" w14:textId="77777777" w:rsidTr="183B021C">
        <w:tc>
          <w:tcPr>
            <w:tcW w:w="5807" w:type="dxa"/>
            <w:gridSpan w:val="3"/>
          </w:tcPr>
          <w:p w14:paraId="636F8EFF" w14:textId="13CA8191" w:rsidR="003C1C3F" w:rsidRPr="0068185E" w:rsidRDefault="003C1C3F" w:rsidP="00F43A5F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9E3D9B">
              <w:rPr>
                <w:rFonts w:cstheme="minorHAnsi"/>
                <w:b/>
                <w:sz w:val="22"/>
                <w:szCs w:val="22"/>
              </w:rPr>
              <w:t xml:space="preserve">Cold Water </w:t>
            </w:r>
            <w:r w:rsidR="00FC222B">
              <w:rPr>
                <w:rFonts w:cstheme="minorHAnsi"/>
                <w:b/>
                <w:sz w:val="22"/>
                <w:szCs w:val="22"/>
              </w:rPr>
              <w:t>Supply Temperature</w:t>
            </w:r>
          </w:p>
        </w:tc>
        <w:tc>
          <w:tcPr>
            <w:tcW w:w="3516" w:type="dxa"/>
            <w:gridSpan w:val="2"/>
          </w:tcPr>
          <w:p w14:paraId="49CDA700" w14:textId="4584F804" w:rsidR="003C1C3F" w:rsidRPr="0068185E" w:rsidRDefault="003C1C3F" w:rsidP="6EE08FFF">
            <w:pPr>
              <w:spacing w:before="120" w:after="120"/>
              <w:rPr>
                <w:b/>
                <w:bCs/>
              </w:rPr>
            </w:pPr>
            <w:r w:rsidRPr="6EE08FFF">
              <w:rPr>
                <w:b/>
                <w:bCs/>
                <w:sz w:val="22"/>
                <w:szCs w:val="22"/>
              </w:rPr>
              <w:t>Assumption no:</w:t>
            </w:r>
            <w:r w:rsidR="00102BEB" w:rsidRPr="6EE08FFF">
              <w:rPr>
                <w:b/>
                <w:bCs/>
                <w:sz w:val="22"/>
                <w:szCs w:val="22"/>
              </w:rPr>
              <w:t xml:space="preserve"> </w:t>
            </w:r>
            <w:r w:rsidR="4FDD4EA2" w:rsidRPr="6EE08FFF">
              <w:rPr>
                <w:b/>
                <w:bCs/>
                <w:sz w:val="22"/>
                <w:szCs w:val="22"/>
              </w:rPr>
              <w:t>82</w:t>
            </w:r>
          </w:p>
        </w:tc>
      </w:tr>
      <w:tr w:rsidR="00017C28" w:rsidRPr="0068185E" w14:paraId="654BFA1A" w14:textId="37D4D373" w:rsidTr="00934B7A">
        <w:tc>
          <w:tcPr>
            <w:tcW w:w="1555" w:type="dxa"/>
          </w:tcPr>
          <w:p w14:paraId="1412685A" w14:textId="4CA6DFA8" w:rsidR="00017C28" w:rsidRPr="0068185E" w:rsidRDefault="00017C28" w:rsidP="006F7C5C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Rev:</w:t>
            </w:r>
            <w:r w:rsidR="0063724C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9271E7">
              <w:rPr>
                <w:rFonts w:cstheme="minorHAnsi"/>
                <w:b/>
                <w:sz w:val="22"/>
                <w:szCs w:val="22"/>
              </w:rPr>
              <w:t>01</w:t>
            </w:r>
          </w:p>
        </w:tc>
        <w:tc>
          <w:tcPr>
            <w:tcW w:w="2268" w:type="dxa"/>
          </w:tcPr>
          <w:p w14:paraId="213A08F5" w14:textId="5A102DA0" w:rsidR="00F43A5F" w:rsidRPr="0068185E" w:rsidRDefault="00017C28" w:rsidP="006F7C5C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Date: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9271E7" w:rsidRPr="009271E7">
              <w:rPr>
                <w:rFonts w:cstheme="minorHAnsi"/>
                <w:bCs/>
                <w:sz w:val="22"/>
                <w:szCs w:val="22"/>
              </w:rPr>
              <w:t>21/09/2020</w:t>
            </w:r>
          </w:p>
        </w:tc>
        <w:tc>
          <w:tcPr>
            <w:tcW w:w="2268" w:type="dxa"/>
            <w:gridSpan w:val="2"/>
          </w:tcPr>
          <w:p w14:paraId="4A7664B0" w14:textId="79ADEEF0" w:rsidR="00F43A5F" w:rsidRPr="0068185E" w:rsidRDefault="00017C28" w:rsidP="006F7C5C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Author: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9271E7" w:rsidRPr="009271E7">
              <w:rPr>
                <w:rFonts w:cstheme="minorHAnsi"/>
                <w:bCs/>
                <w:sz w:val="22"/>
                <w:szCs w:val="22"/>
              </w:rPr>
              <w:t>Gareth Jones</w:t>
            </w:r>
          </w:p>
        </w:tc>
        <w:tc>
          <w:tcPr>
            <w:tcW w:w="3232" w:type="dxa"/>
          </w:tcPr>
          <w:p w14:paraId="7AC0C514" w14:textId="6F6F9E7E" w:rsidR="00F43A5F" w:rsidRPr="0068185E" w:rsidRDefault="00017C28" w:rsidP="00934B7A">
            <w:pPr>
              <w:spacing w:before="120" w:after="120" w:line="276" w:lineRule="auto"/>
            </w:pPr>
            <w:r w:rsidRPr="183B021C">
              <w:rPr>
                <w:b/>
                <w:bCs/>
                <w:sz w:val="22"/>
                <w:szCs w:val="22"/>
              </w:rPr>
              <w:t>Checked:</w:t>
            </w:r>
            <w:r w:rsidR="00934B7A">
              <w:rPr>
                <w:b/>
                <w:bCs/>
                <w:sz w:val="22"/>
                <w:szCs w:val="22"/>
              </w:rPr>
              <w:t xml:space="preserve"> </w:t>
            </w:r>
            <w:r w:rsidR="4AA25A7C" w:rsidRPr="183B021C">
              <w:rPr>
                <w:sz w:val="22"/>
                <w:szCs w:val="22"/>
              </w:rPr>
              <w:t>Valeria Khnykina</w:t>
            </w:r>
          </w:p>
        </w:tc>
      </w:tr>
    </w:tbl>
    <w:p w14:paraId="0D57A0C7" w14:textId="097F9BC1" w:rsidR="002A6108" w:rsidRPr="002E42D8" w:rsidRDefault="00F43A5F" w:rsidP="00925ABD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Toc514342241"/>
      <w:r w:rsidRPr="0068185E">
        <w:rPr>
          <w:rFonts w:asciiTheme="minorHAnsi" w:hAnsiTheme="minorHAnsi" w:cstheme="minorHAnsi"/>
          <w:b/>
          <w:bCs/>
          <w:sz w:val="22"/>
          <w:szCs w:val="22"/>
        </w:rPr>
        <w:t>Introduction</w:t>
      </w:r>
      <w:bookmarkEnd w:id="0"/>
    </w:p>
    <w:p w14:paraId="2176C978" w14:textId="3F87181A" w:rsidR="00393D26" w:rsidRDefault="002D606D" w:rsidP="00925ABD">
      <w:pPr>
        <w:rPr>
          <w:lang w:val="en-GB"/>
        </w:rPr>
      </w:pPr>
      <w:r>
        <w:rPr>
          <w:rFonts w:cstheme="minorHAnsi"/>
          <w:lang w:val="en-GB"/>
        </w:rPr>
        <w:t xml:space="preserve">In the </w:t>
      </w:r>
      <w:r w:rsidR="006312B1">
        <w:rPr>
          <w:rFonts w:cstheme="minorHAnsi"/>
        </w:rPr>
        <w:t>current</w:t>
      </w:r>
      <w:r>
        <w:rPr>
          <w:rFonts w:cstheme="minorHAnsi"/>
        </w:rPr>
        <w:t xml:space="preserve"> (Rev-009) version of the BESA HIU Test Standard</w:t>
      </w:r>
      <w:r w:rsidR="005426E6">
        <w:rPr>
          <w:lang w:val="en-GB"/>
        </w:rPr>
        <w:t>,</w:t>
      </w:r>
      <w:r w:rsidR="00393D26">
        <w:rPr>
          <w:lang w:val="en-GB"/>
        </w:rPr>
        <w:t xml:space="preserve"> the CWS supply temperature </w:t>
      </w:r>
      <w:r w:rsidR="006312B1">
        <w:rPr>
          <w:lang w:val="en-GB"/>
        </w:rPr>
        <w:t>is</w:t>
      </w:r>
      <w:r w:rsidR="00393D26">
        <w:rPr>
          <w:lang w:val="en-GB"/>
        </w:rPr>
        <w:t xml:space="preserve"> </w:t>
      </w:r>
      <w:r w:rsidR="00C82827">
        <w:rPr>
          <w:lang w:val="en-GB"/>
        </w:rPr>
        <w:t>maintaine</w:t>
      </w:r>
      <w:r w:rsidR="00393D26">
        <w:rPr>
          <w:lang w:val="en-GB"/>
        </w:rPr>
        <w:t>d at 10</w:t>
      </w:r>
      <w:r w:rsidR="00C77C2A">
        <w:rPr>
          <w:lang w:val="en-GB"/>
        </w:rPr>
        <w:t>°</w:t>
      </w:r>
      <w:r w:rsidR="00393D26">
        <w:rPr>
          <w:lang w:val="en-GB"/>
        </w:rPr>
        <w:t>C</w:t>
      </w:r>
      <w:r w:rsidR="006312B1">
        <w:rPr>
          <w:lang w:val="en-GB"/>
        </w:rPr>
        <w:t xml:space="preserve"> for the DHW tests</w:t>
      </w:r>
      <w:r w:rsidR="00393D26">
        <w:rPr>
          <w:lang w:val="en-GB"/>
        </w:rPr>
        <w:t xml:space="preserve">. This </w:t>
      </w:r>
      <w:r w:rsidR="00202973">
        <w:rPr>
          <w:lang w:val="en-GB"/>
        </w:rPr>
        <w:t xml:space="preserve">has been maintained since </w:t>
      </w:r>
      <w:r w:rsidR="00B86987">
        <w:rPr>
          <w:lang w:val="en-GB"/>
        </w:rPr>
        <w:t>the original SBRI funded test</w:t>
      </w:r>
      <w:r w:rsidR="00D760DC">
        <w:rPr>
          <w:lang w:val="en-GB"/>
        </w:rPr>
        <w:t xml:space="preserve">, which was aligned </w:t>
      </w:r>
      <w:r w:rsidR="00016AC9">
        <w:rPr>
          <w:lang w:val="en-GB"/>
        </w:rPr>
        <w:t>with the Swedi</w:t>
      </w:r>
      <w:r w:rsidR="00714358">
        <w:rPr>
          <w:lang w:val="en-GB"/>
        </w:rPr>
        <w:t>sh F:103-7 test standard</w:t>
      </w:r>
      <w:r w:rsidR="00E255A4">
        <w:rPr>
          <w:lang w:val="en-GB"/>
        </w:rPr>
        <w:t xml:space="preserve"> [</w:t>
      </w:r>
      <w:r w:rsidR="002E604E">
        <w:rPr>
          <w:lang w:val="en-GB"/>
        </w:rPr>
        <w:t>1</w:t>
      </w:r>
      <w:r w:rsidR="00E255A4">
        <w:rPr>
          <w:lang w:val="en-GB"/>
        </w:rPr>
        <w:t>]</w:t>
      </w:r>
      <w:r w:rsidR="00714358">
        <w:rPr>
          <w:lang w:val="en-GB"/>
        </w:rPr>
        <w:t>.</w:t>
      </w:r>
    </w:p>
    <w:p w14:paraId="5C4683AF" w14:textId="288810AE" w:rsidR="00925ABD" w:rsidRDefault="00010800" w:rsidP="00925ABD">
      <w:pPr>
        <w:rPr>
          <w:lang w:val="en-GB"/>
        </w:rPr>
      </w:pPr>
      <w:r>
        <w:rPr>
          <w:lang w:val="en-GB"/>
        </w:rPr>
        <w:t xml:space="preserve">However, there has been </w:t>
      </w:r>
      <w:r w:rsidR="00202973">
        <w:rPr>
          <w:lang w:val="en-GB"/>
        </w:rPr>
        <w:t>periodic</w:t>
      </w:r>
      <w:r>
        <w:rPr>
          <w:lang w:val="en-GB"/>
        </w:rPr>
        <w:t xml:space="preserve"> discussion regarding</w:t>
      </w:r>
      <w:r w:rsidR="00202973">
        <w:rPr>
          <w:lang w:val="en-GB"/>
        </w:rPr>
        <w:t xml:space="preserve"> this assumption</w:t>
      </w:r>
      <w:r>
        <w:rPr>
          <w:lang w:val="en-GB"/>
        </w:rPr>
        <w:t xml:space="preserve"> this over the past </w:t>
      </w:r>
      <w:r w:rsidR="00202973">
        <w:rPr>
          <w:lang w:val="en-GB"/>
        </w:rPr>
        <w:t>five</w:t>
      </w:r>
      <w:r>
        <w:rPr>
          <w:lang w:val="en-GB"/>
        </w:rPr>
        <w:t xml:space="preserve"> years as </w:t>
      </w:r>
      <w:r w:rsidR="003C7C6F">
        <w:rPr>
          <w:lang w:val="en-GB"/>
        </w:rPr>
        <w:t xml:space="preserve">it has been </w:t>
      </w:r>
      <w:r w:rsidR="006A261A">
        <w:rPr>
          <w:lang w:val="en-GB"/>
        </w:rPr>
        <w:t>suggested</w:t>
      </w:r>
      <w:r w:rsidR="003C7C6F">
        <w:rPr>
          <w:lang w:val="en-GB"/>
        </w:rPr>
        <w:t xml:space="preserve"> that the </w:t>
      </w:r>
      <w:r w:rsidR="00AD3663">
        <w:rPr>
          <w:lang w:val="en-GB"/>
        </w:rPr>
        <w:t>10</w:t>
      </w:r>
      <w:r w:rsidR="0075780C">
        <w:rPr>
          <w:lang w:val="en-GB"/>
        </w:rPr>
        <w:t>°</w:t>
      </w:r>
      <w:r w:rsidR="00AD3663">
        <w:rPr>
          <w:lang w:val="en-GB"/>
        </w:rPr>
        <w:t>C design condition</w:t>
      </w:r>
      <w:r w:rsidR="00747C1E">
        <w:rPr>
          <w:lang w:val="en-GB"/>
        </w:rPr>
        <w:t xml:space="preserve"> employed</w:t>
      </w:r>
      <w:r w:rsidR="00AD3663">
        <w:rPr>
          <w:lang w:val="en-GB"/>
        </w:rPr>
        <w:t xml:space="preserve"> is lower than the average CWS temperature in the UK</w:t>
      </w:r>
      <w:r w:rsidR="006A261A">
        <w:rPr>
          <w:lang w:val="en-GB"/>
        </w:rPr>
        <w:t xml:space="preserve"> and, as a result</w:t>
      </w:r>
      <w:r w:rsidR="00AD3663">
        <w:rPr>
          <w:lang w:val="en-GB"/>
        </w:rPr>
        <w:t xml:space="preserve">, the </w:t>
      </w:r>
      <w:r w:rsidR="00C027BD">
        <w:rPr>
          <w:lang w:val="en-GB"/>
        </w:rPr>
        <w:t>calculated VWART</w:t>
      </w:r>
      <w:r w:rsidR="00F65E20">
        <w:rPr>
          <w:lang w:val="en-GB"/>
        </w:rPr>
        <w:t xml:space="preserve"> reported within the test results</w:t>
      </w:r>
      <w:r w:rsidR="00C027BD">
        <w:rPr>
          <w:lang w:val="en-GB"/>
        </w:rPr>
        <w:t xml:space="preserve"> would</w:t>
      </w:r>
      <w:r w:rsidR="00747C1E">
        <w:rPr>
          <w:lang w:val="en-GB"/>
        </w:rPr>
        <w:t xml:space="preserve"> consequently</w:t>
      </w:r>
      <w:r w:rsidR="00C027BD">
        <w:rPr>
          <w:lang w:val="en-GB"/>
        </w:rPr>
        <w:t xml:space="preserve"> be lower than the </w:t>
      </w:r>
      <w:r w:rsidR="008A73B1">
        <w:rPr>
          <w:lang w:val="en-GB"/>
        </w:rPr>
        <w:t xml:space="preserve">measured VWART in practise. </w:t>
      </w:r>
    </w:p>
    <w:p w14:paraId="135C357C" w14:textId="3CDFAE8B" w:rsidR="00747C1E" w:rsidRPr="001443B2" w:rsidRDefault="0041304B" w:rsidP="00747C1E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802110">
        <w:rPr>
          <w:rFonts w:asciiTheme="minorHAnsi" w:hAnsiTheme="minorHAnsi" w:cstheme="minorHAnsi"/>
          <w:b/>
          <w:bCs/>
          <w:sz w:val="22"/>
          <w:szCs w:val="22"/>
        </w:rPr>
        <w:t>C</w:t>
      </w:r>
      <w:r w:rsidR="005375E2" w:rsidRPr="00802110">
        <w:rPr>
          <w:rFonts w:asciiTheme="minorHAnsi" w:hAnsiTheme="minorHAnsi" w:cstheme="minorHAnsi"/>
          <w:b/>
          <w:bCs/>
          <w:sz w:val="22"/>
          <w:szCs w:val="22"/>
        </w:rPr>
        <w:t xml:space="preserve">onsiderations for </w:t>
      </w:r>
      <w:r w:rsidR="00FF6CDE" w:rsidRPr="00802110">
        <w:rPr>
          <w:rFonts w:asciiTheme="minorHAnsi" w:hAnsiTheme="minorHAnsi" w:cstheme="minorHAnsi"/>
          <w:b/>
          <w:bCs/>
          <w:sz w:val="22"/>
          <w:szCs w:val="22"/>
        </w:rPr>
        <w:t xml:space="preserve">CWS </w:t>
      </w:r>
      <w:r w:rsidR="000B40D7">
        <w:rPr>
          <w:rFonts w:asciiTheme="minorHAnsi" w:hAnsiTheme="minorHAnsi" w:cstheme="minorHAnsi"/>
          <w:b/>
          <w:bCs/>
          <w:sz w:val="22"/>
          <w:szCs w:val="22"/>
        </w:rPr>
        <w:t>temperature</w:t>
      </w:r>
    </w:p>
    <w:p w14:paraId="0E271638" w14:textId="4AA3CE77" w:rsidR="00DE687E" w:rsidRDefault="003F027B" w:rsidP="00ED51D1">
      <w:pPr>
        <w:pStyle w:val="Heading2"/>
        <w:ind w:hanging="792"/>
        <w:rPr>
          <w:rFonts w:asciiTheme="minorHAnsi" w:hAnsiTheme="minorHAnsi" w:cstheme="minorHAnsi"/>
          <w:sz w:val="22"/>
          <w:szCs w:val="22"/>
        </w:rPr>
      </w:pPr>
      <w:r w:rsidRPr="00832A31">
        <w:rPr>
          <w:rFonts w:asciiTheme="minorHAnsi" w:hAnsiTheme="minorHAnsi" w:cstheme="minorHAnsi"/>
          <w:sz w:val="22"/>
          <w:szCs w:val="22"/>
        </w:rPr>
        <w:t>Consideration 1</w:t>
      </w:r>
    </w:p>
    <w:p w14:paraId="5725A6CB" w14:textId="77777777" w:rsidR="00153FCA" w:rsidRDefault="001443B2" w:rsidP="001443B2">
      <w:pPr>
        <w:rPr>
          <w:lang w:val="en-GB"/>
        </w:rPr>
      </w:pPr>
      <w:r>
        <w:rPr>
          <w:lang w:val="en-GB"/>
        </w:rPr>
        <w:t>There is a trade-off between the</w:t>
      </w:r>
      <w:r w:rsidR="00406464">
        <w:rPr>
          <w:lang w:val="en-GB"/>
        </w:rPr>
        <w:t xml:space="preserve"> utility of the test results for use in design </w:t>
      </w:r>
      <w:r w:rsidR="00F33504">
        <w:rPr>
          <w:lang w:val="en-GB"/>
        </w:rPr>
        <w:t>decisions (</w:t>
      </w:r>
      <w:r>
        <w:rPr>
          <w:lang w:val="en-GB"/>
        </w:rPr>
        <w:t>design condition operation temperature</w:t>
      </w:r>
      <w:r w:rsidR="00F33504">
        <w:rPr>
          <w:lang w:val="en-GB"/>
        </w:rPr>
        <w:t>)</w:t>
      </w:r>
      <w:r>
        <w:rPr>
          <w:lang w:val="en-GB"/>
        </w:rPr>
        <w:t xml:space="preserve"> and the accuracy of the VWART. </w:t>
      </w:r>
    </w:p>
    <w:p w14:paraId="1F8C169B" w14:textId="031BFB1F" w:rsidR="002D0FC6" w:rsidRDefault="00153FCA" w:rsidP="001443B2">
      <w:pPr>
        <w:rPr>
          <w:lang w:val="en-GB"/>
        </w:rPr>
      </w:pPr>
      <w:r>
        <w:rPr>
          <w:lang w:val="en-GB"/>
        </w:rPr>
        <w:t xml:space="preserve">Retaining </w:t>
      </w:r>
      <w:r w:rsidR="001443B2">
        <w:rPr>
          <w:lang w:val="en-GB"/>
        </w:rPr>
        <w:t xml:space="preserve">a lower CWS temperature </w:t>
      </w:r>
      <w:r>
        <w:rPr>
          <w:lang w:val="en-GB"/>
        </w:rPr>
        <w:t>is</w:t>
      </w:r>
      <w:r w:rsidR="001443B2">
        <w:rPr>
          <w:lang w:val="en-GB"/>
        </w:rPr>
        <w:t xml:space="preserve"> more representative of </w:t>
      </w:r>
      <w:r>
        <w:rPr>
          <w:lang w:val="en-GB"/>
        </w:rPr>
        <w:t>design conditions (i.e.</w:t>
      </w:r>
      <w:r w:rsidR="001443B2">
        <w:rPr>
          <w:lang w:val="en-GB"/>
        </w:rPr>
        <w:t xml:space="preserve"> in the middle of winter</w:t>
      </w:r>
      <w:r>
        <w:rPr>
          <w:lang w:val="en-GB"/>
        </w:rPr>
        <w:t xml:space="preserve">) </w:t>
      </w:r>
      <w:r w:rsidR="00C87553">
        <w:rPr>
          <w:lang w:val="en-GB"/>
        </w:rPr>
        <w:t>with</w:t>
      </w:r>
      <w:r w:rsidR="002D0FC6">
        <w:rPr>
          <w:lang w:val="en-GB"/>
        </w:rPr>
        <w:t xml:space="preserve"> </w:t>
      </w:r>
      <w:r w:rsidR="000D2257">
        <w:rPr>
          <w:lang w:val="en-GB"/>
        </w:rPr>
        <w:t>test output therefore more useful for design decisions</w:t>
      </w:r>
      <w:r w:rsidR="001443B2">
        <w:rPr>
          <w:lang w:val="en-GB"/>
        </w:rPr>
        <w:t>.</w:t>
      </w:r>
      <w:r w:rsidR="000D2257">
        <w:rPr>
          <w:lang w:val="en-GB"/>
        </w:rPr>
        <w:t xml:space="preserve"> However, the </w:t>
      </w:r>
      <w:r w:rsidR="00630808">
        <w:rPr>
          <w:lang w:val="en-GB"/>
        </w:rPr>
        <w:t>resultant VWART is likely to be lower than reality</w:t>
      </w:r>
      <w:r w:rsidR="007165FD">
        <w:rPr>
          <w:lang w:val="en-GB"/>
        </w:rPr>
        <w:t xml:space="preserve"> (on an annualised basis).</w:t>
      </w:r>
      <w:r w:rsidR="001443B2">
        <w:rPr>
          <w:lang w:val="en-GB"/>
        </w:rPr>
        <w:t xml:space="preserve"> </w:t>
      </w:r>
    </w:p>
    <w:p w14:paraId="05517908" w14:textId="3E32722B" w:rsidR="001443B2" w:rsidRPr="001443B2" w:rsidRDefault="007165FD" w:rsidP="001443B2">
      <w:pPr>
        <w:rPr>
          <w:lang w:val="en-GB"/>
        </w:rPr>
      </w:pPr>
      <w:r>
        <w:rPr>
          <w:lang w:val="en-GB"/>
        </w:rPr>
        <w:t>Conversely, u</w:t>
      </w:r>
      <w:r w:rsidR="00914DD1">
        <w:rPr>
          <w:lang w:val="en-GB"/>
        </w:rPr>
        <w:t>sing a higher average input temperature may not be as realistic in terms of representing how an HIU will</w:t>
      </w:r>
      <w:r w:rsidR="00E5741D">
        <w:rPr>
          <w:lang w:val="en-GB"/>
        </w:rPr>
        <w:t xml:space="preserve"> operate</w:t>
      </w:r>
      <w:r w:rsidR="00914DD1">
        <w:rPr>
          <w:lang w:val="en-GB"/>
        </w:rPr>
        <w:t xml:space="preserve"> in design conditions</w:t>
      </w:r>
      <w:r>
        <w:rPr>
          <w:lang w:val="en-GB"/>
        </w:rPr>
        <w:t>, but is likely to give a more accurate VWART (on an annualised basis).</w:t>
      </w:r>
    </w:p>
    <w:p w14:paraId="0DD02D6B" w14:textId="3AA63367" w:rsidR="00EE6D9D" w:rsidRDefault="00232566" w:rsidP="00AE6976">
      <w:pPr>
        <w:rPr>
          <w:lang w:val="en-GB"/>
        </w:rPr>
      </w:pPr>
      <w:r>
        <w:rPr>
          <w:lang w:val="en-GB"/>
        </w:rPr>
        <w:t>Table 1 below</w:t>
      </w:r>
      <w:r w:rsidR="00D84A4C">
        <w:rPr>
          <w:lang w:val="en-GB"/>
        </w:rPr>
        <w:t xml:space="preserve"> </w:t>
      </w:r>
      <w:r>
        <w:rPr>
          <w:lang w:val="en-GB"/>
        </w:rPr>
        <w:t xml:space="preserve">shows </w:t>
      </w:r>
      <w:r w:rsidR="007165FD">
        <w:rPr>
          <w:lang w:val="en-GB"/>
        </w:rPr>
        <w:t>variation in expected</w:t>
      </w:r>
      <w:r>
        <w:rPr>
          <w:lang w:val="en-GB"/>
        </w:rPr>
        <w:t xml:space="preserve"> </w:t>
      </w:r>
      <w:r w:rsidR="00161265">
        <w:rPr>
          <w:lang w:val="en-GB"/>
        </w:rPr>
        <w:t xml:space="preserve">CWS </w:t>
      </w:r>
      <w:r>
        <w:rPr>
          <w:lang w:val="en-GB"/>
        </w:rPr>
        <w:t xml:space="preserve">temperature </w:t>
      </w:r>
      <w:r w:rsidR="00161265">
        <w:rPr>
          <w:lang w:val="en-GB"/>
        </w:rPr>
        <w:t>over the year. This data was obtained from EST field trials in 2008</w:t>
      </w:r>
      <w:r w:rsidR="00A770C3">
        <w:rPr>
          <w:lang w:val="en-GB"/>
        </w:rPr>
        <w:t xml:space="preserve"> </w:t>
      </w:r>
      <w:r w:rsidR="00B36104">
        <w:rPr>
          <w:lang w:val="en-GB"/>
        </w:rPr>
        <w:t>and is presented in SAP 2012 (Table G2). The data</w:t>
      </w:r>
      <w:r w:rsidR="00161265">
        <w:rPr>
          <w:lang w:val="en-GB"/>
        </w:rPr>
        <w:t xml:space="preserve"> shows that the average CWS temperature is </w:t>
      </w:r>
      <w:r w:rsidR="00970137">
        <w:rPr>
          <w:lang w:val="en-GB"/>
        </w:rPr>
        <w:t>15.3</w:t>
      </w:r>
      <w:r w:rsidR="00C77C2A">
        <w:rPr>
          <w:lang w:val="en-GB"/>
        </w:rPr>
        <w:t>°C</w:t>
      </w:r>
      <w:r w:rsidR="00EA556F">
        <w:rPr>
          <w:lang w:val="en-GB"/>
        </w:rPr>
        <w:t xml:space="preserve">, higher than the 10°C standard. </w:t>
      </w:r>
      <w:r w:rsidR="00A770C3">
        <w:rPr>
          <w:lang w:val="en-GB"/>
        </w:rPr>
        <w:t>The winter temperatures are closer to ~11°C, dropping slighter lower in February.</w:t>
      </w:r>
    </w:p>
    <w:p w14:paraId="25216671" w14:textId="4A61D298" w:rsidR="00EE6D9D" w:rsidRPr="00EA556F" w:rsidRDefault="00EE6D9D" w:rsidP="00EE6D9D">
      <w:pPr>
        <w:pStyle w:val="Caption"/>
        <w:rPr>
          <w:color w:val="auto"/>
          <w:sz w:val="20"/>
          <w:szCs w:val="20"/>
          <w:lang w:val="en-GB"/>
        </w:rPr>
      </w:pPr>
      <w:r w:rsidRPr="00EA556F">
        <w:rPr>
          <w:color w:val="auto"/>
          <w:sz w:val="20"/>
          <w:szCs w:val="20"/>
        </w:rPr>
        <w:t xml:space="preserve">Table </w:t>
      </w:r>
      <w:r w:rsidRPr="00EA556F">
        <w:rPr>
          <w:color w:val="auto"/>
          <w:sz w:val="20"/>
          <w:szCs w:val="20"/>
        </w:rPr>
        <w:fldChar w:fldCharType="begin"/>
      </w:r>
      <w:r w:rsidRPr="00EA556F">
        <w:rPr>
          <w:color w:val="auto"/>
          <w:sz w:val="20"/>
          <w:szCs w:val="20"/>
        </w:rPr>
        <w:instrText xml:space="preserve"> SEQ Table \* ARABIC </w:instrText>
      </w:r>
      <w:r w:rsidRPr="00EA556F">
        <w:rPr>
          <w:color w:val="auto"/>
          <w:sz w:val="20"/>
          <w:szCs w:val="20"/>
        </w:rPr>
        <w:fldChar w:fldCharType="separate"/>
      </w:r>
      <w:r w:rsidRPr="00EA556F">
        <w:rPr>
          <w:noProof/>
          <w:color w:val="auto"/>
          <w:sz w:val="20"/>
          <w:szCs w:val="20"/>
        </w:rPr>
        <w:t>1</w:t>
      </w:r>
      <w:r w:rsidRPr="00EA556F">
        <w:rPr>
          <w:color w:val="auto"/>
          <w:sz w:val="20"/>
          <w:szCs w:val="20"/>
        </w:rPr>
        <w:fldChar w:fldCharType="end"/>
      </w:r>
      <w:r w:rsidRPr="00EA556F">
        <w:rPr>
          <w:color w:val="auto"/>
          <w:sz w:val="20"/>
          <w:szCs w:val="20"/>
        </w:rPr>
        <w:t xml:space="preserve">: Cold water supply temperature in </w:t>
      </w:r>
      <w:r w:rsidR="00D84A4C">
        <w:rPr>
          <w:lang w:val="en-GB"/>
        </w:rPr>
        <w:t>°</w:t>
      </w:r>
      <w:r w:rsidRPr="00EA556F">
        <w:rPr>
          <w:color w:val="auto"/>
          <w:sz w:val="20"/>
          <w:szCs w:val="20"/>
        </w:rPr>
        <w:t>C</w:t>
      </w:r>
      <w:r w:rsidR="00FC1620">
        <w:rPr>
          <w:color w:val="auto"/>
          <w:sz w:val="20"/>
          <w:szCs w:val="20"/>
        </w:rPr>
        <w:t xml:space="preserve"> [</w:t>
      </w:r>
      <w:r w:rsidR="0068649D">
        <w:rPr>
          <w:color w:val="auto"/>
          <w:sz w:val="20"/>
          <w:szCs w:val="20"/>
        </w:rPr>
        <w:t>2</w:t>
      </w:r>
      <w:r w:rsidR="00FC1620">
        <w:rPr>
          <w:color w:val="auto"/>
          <w:sz w:val="20"/>
          <w:szCs w:val="20"/>
        </w:rPr>
        <w:t>]</w:t>
      </w:r>
      <w:r w:rsidR="00D84A4C">
        <w:rPr>
          <w:color w:val="auto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8"/>
        <w:gridCol w:w="778"/>
        <w:gridCol w:w="777"/>
        <w:gridCol w:w="777"/>
        <w:gridCol w:w="776"/>
        <w:gridCol w:w="776"/>
        <w:gridCol w:w="776"/>
        <w:gridCol w:w="777"/>
        <w:gridCol w:w="777"/>
        <w:gridCol w:w="777"/>
        <w:gridCol w:w="777"/>
        <w:gridCol w:w="777"/>
      </w:tblGrid>
      <w:tr w:rsidR="0065002A" w14:paraId="480F8520" w14:textId="6EE1824A" w:rsidTr="0065002A">
        <w:tc>
          <w:tcPr>
            <w:tcW w:w="778" w:type="dxa"/>
          </w:tcPr>
          <w:p w14:paraId="1C69DBDE" w14:textId="29B39A67" w:rsidR="0065002A" w:rsidRPr="00E868F5" w:rsidRDefault="0065002A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Jan</w:t>
            </w:r>
          </w:p>
        </w:tc>
        <w:tc>
          <w:tcPr>
            <w:tcW w:w="778" w:type="dxa"/>
          </w:tcPr>
          <w:p w14:paraId="24249909" w14:textId="7C5C0464" w:rsidR="0065002A" w:rsidRPr="00E868F5" w:rsidRDefault="0065002A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Feb</w:t>
            </w:r>
          </w:p>
        </w:tc>
        <w:tc>
          <w:tcPr>
            <w:tcW w:w="777" w:type="dxa"/>
          </w:tcPr>
          <w:p w14:paraId="2B0FA964" w14:textId="21B3EC14" w:rsidR="0065002A" w:rsidRPr="00E868F5" w:rsidRDefault="0065002A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Mar</w:t>
            </w:r>
          </w:p>
        </w:tc>
        <w:tc>
          <w:tcPr>
            <w:tcW w:w="777" w:type="dxa"/>
          </w:tcPr>
          <w:p w14:paraId="12E220DF" w14:textId="5F0B4732" w:rsidR="0065002A" w:rsidRPr="00E868F5" w:rsidRDefault="0065002A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Apr</w:t>
            </w:r>
          </w:p>
        </w:tc>
        <w:tc>
          <w:tcPr>
            <w:tcW w:w="776" w:type="dxa"/>
          </w:tcPr>
          <w:p w14:paraId="0813BFB1" w14:textId="2BF92E54" w:rsidR="0065002A" w:rsidRPr="00E868F5" w:rsidRDefault="0065002A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May</w:t>
            </w:r>
          </w:p>
        </w:tc>
        <w:tc>
          <w:tcPr>
            <w:tcW w:w="776" w:type="dxa"/>
          </w:tcPr>
          <w:p w14:paraId="78AD9102" w14:textId="7A276F8A" w:rsidR="0065002A" w:rsidRPr="00E868F5" w:rsidRDefault="0065002A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Jun</w:t>
            </w:r>
          </w:p>
        </w:tc>
        <w:tc>
          <w:tcPr>
            <w:tcW w:w="776" w:type="dxa"/>
          </w:tcPr>
          <w:p w14:paraId="35A10445" w14:textId="09D4E962" w:rsidR="0065002A" w:rsidRPr="00E868F5" w:rsidRDefault="0065002A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Jul</w:t>
            </w:r>
          </w:p>
        </w:tc>
        <w:tc>
          <w:tcPr>
            <w:tcW w:w="777" w:type="dxa"/>
          </w:tcPr>
          <w:p w14:paraId="7D2D9F5B" w14:textId="790EA62E" w:rsidR="0065002A" w:rsidRPr="00E868F5" w:rsidRDefault="0065002A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Aug</w:t>
            </w:r>
          </w:p>
        </w:tc>
        <w:tc>
          <w:tcPr>
            <w:tcW w:w="777" w:type="dxa"/>
          </w:tcPr>
          <w:p w14:paraId="5A477386" w14:textId="02D790EC" w:rsidR="0065002A" w:rsidRPr="00E868F5" w:rsidRDefault="0065002A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Sept</w:t>
            </w:r>
          </w:p>
        </w:tc>
        <w:tc>
          <w:tcPr>
            <w:tcW w:w="777" w:type="dxa"/>
          </w:tcPr>
          <w:p w14:paraId="0227B320" w14:textId="2D28CF6C" w:rsidR="0065002A" w:rsidRPr="00E868F5" w:rsidRDefault="0065002A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Oct</w:t>
            </w:r>
          </w:p>
        </w:tc>
        <w:tc>
          <w:tcPr>
            <w:tcW w:w="777" w:type="dxa"/>
          </w:tcPr>
          <w:p w14:paraId="326F7202" w14:textId="5EF71992" w:rsidR="0065002A" w:rsidRPr="00E868F5" w:rsidRDefault="0065002A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Nov</w:t>
            </w:r>
          </w:p>
        </w:tc>
        <w:tc>
          <w:tcPr>
            <w:tcW w:w="777" w:type="dxa"/>
          </w:tcPr>
          <w:p w14:paraId="5C5030B7" w14:textId="5B395265" w:rsidR="0065002A" w:rsidRPr="00E868F5" w:rsidRDefault="0065002A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Dec</w:t>
            </w:r>
          </w:p>
        </w:tc>
      </w:tr>
      <w:tr w:rsidR="0065002A" w14:paraId="6F6BC6ED" w14:textId="1DB91354" w:rsidTr="0065002A">
        <w:tc>
          <w:tcPr>
            <w:tcW w:w="778" w:type="dxa"/>
          </w:tcPr>
          <w:p w14:paraId="167306CE" w14:textId="04EE2E09" w:rsidR="0065002A" w:rsidRPr="00E868F5" w:rsidRDefault="00E868F5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11.1</w:t>
            </w:r>
          </w:p>
        </w:tc>
        <w:tc>
          <w:tcPr>
            <w:tcW w:w="778" w:type="dxa"/>
          </w:tcPr>
          <w:p w14:paraId="55D8BFB6" w14:textId="4D68BFB5" w:rsidR="0065002A" w:rsidRPr="00E868F5" w:rsidRDefault="00E868F5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10.8</w:t>
            </w:r>
          </w:p>
        </w:tc>
        <w:tc>
          <w:tcPr>
            <w:tcW w:w="777" w:type="dxa"/>
          </w:tcPr>
          <w:p w14:paraId="773F8FC4" w14:textId="14A3B0B1" w:rsidR="0065002A" w:rsidRPr="00E868F5" w:rsidRDefault="00E868F5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11.8</w:t>
            </w:r>
          </w:p>
        </w:tc>
        <w:tc>
          <w:tcPr>
            <w:tcW w:w="777" w:type="dxa"/>
          </w:tcPr>
          <w:p w14:paraId="5C7B4C8F" w14:textId="24C8AB6C" w:rsidR="0065002A" w:rsidRPr="00E868F5" w:rsidRDefault="00E868F5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14.7</w:t>
            </w:r>
          </w:p>
        </w:tc>
        <w:tc>
          <w:tcPr>
            <w:tcW w:w="776" w:type="dxa"/>
          </w:tcPr>
          <w:p w14:paraId="0134FB9F" w14:textId="04AFB4F8" w:rsidR="0065002A" w:rsidRPr="00E868F5" w:rsidRDefault="00E868F5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16.1</w:t>
            </w:r>
          </w:p>
        </w:tc>
        <w:tc>
          <w:tcPr>
            <w:tcW w:w="776" w:type="dxa"/>
          </w:tcPr>
          <w:p w14:paraId="68A5A4ED" w14:textId="0FFF2F08" w:rsidR="0065002A" w:rsidRPr="00E868F5" w:rsidRDefault="00E868F5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18.2</w:t>
            </w:r>
          </w:p>
        </w:tc>
        <w:tc>
          <w:tcPr>
            <w:tcW w:w="776" w:type="dxa"/>
          </w:tcPr>
          <w:p w14:paraId="35B511B5" w14:textId="4A1B79ED" w:rsidR="0065002A" w:rsidRPr="00E868F5" w:rsidRDefault="00E868F5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21.3</w:t>
            </w:r>
          </w:p>
        </w:tc>
        <w:tc>
          <w:tcPr>
            <w:tcW w:w="777" w:type="dxa"/>
          </w:tcPr>
          <w:p w14:paraId="7E752A7C" w14:textId="3DF8369A" w:rsidR="0065002A" w:rsidRPr="00E868F5" w:rsidRDefault="00E868F5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19.2</w:t>
            </w:r>
          </w:p>
        </w:tc>
        <w:tc>
          <w:tcPr>
            <w:tcW w:w="777" w:type="dxa"/>
          </w:tcPr>
          <w:p w14:paraId="6FEBE02A" w14:textId="2982E872" w:rsidR="0065002A" w:rsidRPr="00E868F5" w:rsidRDefault="00E868F5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18.8</w:t>
            </w:r>
          </w:p>
        </w:tc>
        <w:tc>
          <w:tcPr>
            <w:tcW w:w="777" w:type="dxa"/>
          </w:tcPr>
          <w:p w14:paraId="470394AF" w14:textId="593E1561" w:rsidR="0065002A" w:rsidRPr="00E868F5" w:rsidRDefault="00E868F5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16.3</w:t>
            </w:r>
          </w:p>
        </w:tc>
        <w:tc>
          <w:tcPr>
            <w:tcW w:w="777" w:type="dxa"/>
          </w:tcPr>
          <w:p w14:paraId="597154C6" w14:textId="0E8E92E3" w:rsidR="0065002A" w:rsidRPr="00E868F5" w:rsidRDefault="00E868F5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13.3</w:t>
            </w:r>
          </w:p>
        </w:tc>
        <w:tc>
          <w:tcPr>
            <w:tcW w:w="777" w:type="dxa"/>
          </w:tcPr>
          <w:p w14:paraId="60273C87" w14:textId="2BE43ABF" w:rsidR="0065002A" w:rsidRPr="00E868F5" w:rsidRDefault="00E868F5" w:rsidP="00AE6976">
            <w:pPr>
              <w:rPr>
                <w:sz w:val="22"/>
                <w:szCs w:val="22"/>
                <w:lang w:val="en-GB"/>
              </w:rPr>
            </w:pPr>
            <w:r w:rsidRPr="00E868F5">
              <w:rPr>
                <w:sz w:val="22"/>
                <w:szCs w:val="22"/>
                <w:lang w:val="en-GB"/>
              </w:rPr>
              <w:t>11.8</w:t>
            </w:r>
          </w:p>
        </w:tc>
      </w:tr>
    </w:tbl>
    <w:p w14:paraId="0E75020C" w14:textId="3E23A382" w:rsidR="008A7339" w:rsidRDefault="008A7339" w:rsidP="00AE6976">
      <w:pPr>
        <w:rPr>
          <w:lang w:val="en-GB"/>
        </w:rPr>
      </w:pPr>
    </w:p>
    <w:p w14:paraId="6A01AFBF" w14:textId="3ED82825" w:rsidR="008A7339" w:rsidRDefault="00FF1E1A" w:rsidP="00AE6976">
      <w:pPr>
        <w:rPr>
          <w:lang w:val="en-GB"/>
        </w:rPr>
      </w:pPr>
      <w:r>
        <w:rPr>
          <w:lang w:val="en-GB"/>
        </w:rPr>
        <w:lastRenderedPageBreak/>
        <w:t>Therefore</w:t>
      </w:r>
      <w:r w:rsidR="00AC1887">
        <w:rPr>
          <w:lang w:val="en-GB"/>
        </w:rPr>
        <w:t>,</w:t>
      </w:r>
      <w:r>
        <w:rPr>
          <w:lang w:val="en-GB"/>
        </w:rPr>
        <w:t xml:space="preserve"> the consideration here is whether to maintain DHW </w:t>
      </w:r>
      <w:r w:rsidR="00094310">
        <w:rPr>
          <w:lang w:val="en-GB"/>
        </w:rPr>
        <w:t xml:space="preserve">testing </w:t>
      </w:r>
      <w:r>
        <w:rPr>
          <w:lang w:val="en-GB"/>
        </w:rPr>
        <w:t xml:space="preserve">at the current temperature or change to the </w:t>
      </w:r>
      <w:r w:rsidR="00094310">
        <w:rPr>
          <w:lang w:val="en-GB"/>
        </w:rPr>
        <w:t>average temperature of 15°C</w:t>
      </w:r>
      <w:r w:rsidR="00AC1887">
        <w:rPr>
          <w:lang w:val="en-GB"/>
        </w:rPr>
        <w:t xml:space="preserve"> given this data</w:t>
      </w:r>
      <w:r w:rsidR="00094310">
        <w:rPr>
          <w:lang w:val="en-GB"/>
        </w:rPr>
        <w:t xml:space="preserve">. </w:t>
      </w:r>
    </w:p>
    <w:p w14:paraId="3AA145E7" w14:textId="512803D7" w:rsidR="00094310" w:rsidRDefault="00094310" w:rsidP="00ED51D1">
      <w:pPr>
        <w:pStyle w:val="Heading2"/>
        <w:ind w:hanging="792"/>
        <w:rPr>
          <w:rFonts w:asciiTheme="minorHAnsi" w:hAnsiTheme="minorHAnsi"/>
          <w:sz w:val="22"/>
          <w:szCs w:val="24"/>
        </w:rPr>
      </w:pPr>
      <w:r w:rsidRPr="00DB5C08">
        <w:rPr>
          <w:rFonts w:asciiTheme="minorHAnsi" w:hAnsiTheme="minorHAnsi"/>
          <w:sz w:val="22"/>
          <w:szCs w:val="24"/>
        </w:rPr>
        <w:t>Consideration 2</w:t>
      </w:r>
    </w:p>
    <w:p w14:paraId="1FAE2DDD" w14:textId="2745AE5A" w:rsidR="006E188D" w:rsidRDefault="006E188D" w:rsidP="00DB5C08">
      <w:pPr>
        <w:rPr>
          <w:lang w:val="en-GB"/>
        </w:rPr>
      </w:pPr>
      <w:r>
        <w:rPr>
          <w:lang w:val="en-GB"/>
        </w:rPr>
        <w:t xml:space="preserve">As the primary purpose of the BESA HIU Test Standard is to provide a comparative test of performance between HIUs, </w:t>
      </w:r>
      <w:r w:rsidR="008A0699">
        <w:rPr>
          <w:lang w:val="en-GB"/>
        </w:rPr>
        <w:t>it is important to consider whether changing CWS temperature would be expected to have a differing impact across manufacturers.</w:t>
      </w:r>
    </w:p>
    <w:p w14:paraId="0383DB05" w14:textId="4B3A8932" w:rsidR="00223137" w:rsidRDefault="003A3364" w:rsidP="00DB5C08">
      <w:pPr>
        <w:rPr>
          <w:lang w:val="en-GB"/>
        </w:rPr>
      </w:pPr>
      <w:r>
        <w:rPr>
          <w:lang w:val="en-GB"/>
        </w:rPr>
        <w:t xml:space="preserve">A review was carried out on the likely impact </w:t>
      </w:r>
      <w:r w:rsidR="00255B0C">
        <w:rPr>
          <w:lang w:val="en-GB"/>
        </w:rPr>
        <w:t xml:space="preserve">of increasing the CWS temperature from 10°C to 15°C </w:t>
      </w:r>
      <w:r>
        <w:rPr>
          <w:lang w:val="en-GB"/>
        </w:rPr>
        <w:t xml:space="preserve">on the </w:t>
      </w:r>
      <w:r w:rsidR="00380244">
        <w:rPr>
          <w:lang w:val="en-GB"/>
        </w:rPr>
        <w:t>VWART for four different manufacturers with different performance profile</w:t>
      </w:r>
      <w:r w:rsidR="00255B0C">
        <w:rPr>
          <w:lang w:val="en-GB"/>
        </w:rPr>
        <w:t>s</w:t>
      </w:r>
      <w:r w:rsidR="0008639B">
        <w:rPr>
          <w:lang w:val="en-GB"/>
        </w:rPr>
        <w:t>. Th</w:t>
      </w:r>
      <w:r w:rsidR="009A6619">
        <w:rPr>
          <w:lang w:val="en-GB"/>
        </w:rPr>
        <w:t xml:space="preserve">is resulted in a projected </w:t>
      </w:r>
      <w:r w:rsidR="007848B9">
        <w:rPr>
          <w:lang w:val="en-GB"/>
        </w:rPr>
        <w:t xml:space="preserve">2°C </w:t>
      </w:r>
      <w:r w:rsidR="009A6619">
        <w:rPr>
          <w:lang w:val="en-GB"/>
        </w:rPr>
        <w:t>average increase</w:t>
      </w:r>
      <w:r w:rsidR="007848B9">
        <w:rPr>
          <w:lang w:val="en-GB"/>
        </w:rPr>
        <w:t xml:space="preserve"> in VWART </w:t>
      </w:r>
      <w:r w:rsidR="009A6619">
        <w:rPr>
          <w:lang w:val="en-GB"/>
        </w:rPr>
        <w:t>across the fou</w:t>
      </w:r>
      <w:r w:rsidR="003F4720">
        <w:rPr>
          <w:lang w:val="en-GB"/>
        </w:rPr>
        <w:t xml:space="preserve">r, with </w:t>
      </w:r>
      <w:r w:rsidR="00041CC4">
        <w:rPr>
          <w:lang w:val="en-GB"/>
        </w:rPr>
        <w:t>a 0.5</w:t>
      </w:r>
      <w:r w:rsidR="00F56190">
        <w:rPr>
          <w:lang w:val="en-GB"/>
        </w:rPr>
        <w:t xml:space="preserve">°C </w:t>
      </w:r>
      <w:r w:rsidR="00160554">
        <w:rPr>
          <w:lang w:val="en-GB"/>
        </w:rPr>
        <w:t xml:space="preserve">range in </w:t>
      </w:r>
      <w:r w:rsidR="00223137">
        <w:rPr>
          <w:lang w:val="en-GB"/>
        </w:rPr>
        <w:t>impact across the different manufacturers</w:t>
      </w:r>
      <w:r w:rsidR="00041CC4">
        <w:rPr>
          <w:lang w:val="en-GB"/>
        </w:rPr>
        <w:t xml:space="preserve"> (from 1.5</w:t>
      </w:r>
      <w:r w:rsidR="00FA3596">
        <w:rPr>
          <w:lang w:val="en-GB"/>
        </w:rPr>
        <w:t>°C to 2.0°C)</w:t>
      </w:r>
      <w:r w:rsidR="00223137">
        <w:rPr>
          <w:lang w:val="en-GB"/>
        </w:rPr>
        <w:t xml:space="preserve"> – i.e. there was no </w:t>
      </w:r>
      <w:r w:rsidR="005A4166">
        <w:rPr>
          <w:lang w:val="en-GB"/>
        </w:rPr>
        <w:t xml:space="preserve">tangible </w:t>
      </w:r>
      <w:r w:rsidR="00223137">
        <w:rPr>
          <w:lang w:val="en-GB"/>
        </w:rPr>
        <w:t>comparative differen</w:t>
      </w:r>
      <w:r w:rsidR="005A4166">
        <w:rPr>
          <w:lang w:val="en-GB"/>
        </w:rPr>
        <w:t>ce in projected impact across the manufacturers.</w:t>
      </w:r>
    </w:p>
    <w:p w14:paraId="6F3B2415" w14:textId="32A1B35E" w:rsidR="00AC447B" w:rsidRDefault="00917406" w:rsidP="00DB5C08">
      <w:pPr>
        <w:rPr>
          <w:lang w:val="en-GB"/>
        </w:rPr>
      </w:pPr>
      <w:r>
        <w:rPr>
          <w:lang w:val="en-GB"/>
        </w:rPr>
        <w:t xml:space="preserve">As </w:t>
      </w:r>
      <w:r w:rsidR="00AC447B">
        <w:rPr>
          <w:lang w:val="en-GB"/>
        </w:rPr>
        <w:t xml:space="preserve">such, changing </w:t>
      </w:r>
      <w:r w:rsidR="00FA3596">
        <w:rPr>
          <w:lang w:val="en-GB"/>
        </w:rPr>
        <w:t xml:space="preserve">CWS temperature would not </w:t>
      </w:r>
      <w:r w:rsidR="0060016A">
        <w:rPr>
          <w:lang w:val="en-GB"/>
        </w:rPr>
        <w:t xml:space="preserve">be projected to </w:t>
      </w:r>
      <w:r w:rsidR="00A27C4C">
        <w:rPr>
          <w:lang w:val="en-GB"/>
        </w:rPr>
        <w:t>have a material</w:t>
      </w:r>
      <w:r w:rsidR="006E188D">
        <w:rPr>
          <w:lang w:val="en-GB"/>
        </w:rPr>
        <w:t xml:space="preserve"> comparative</w:t>
      </w:r>
      <w:r w:rsidR="00A27C4C">
        <w:rPr>
          <w:lang w:val="en-GB"/>
        </w:rPr>
        <w:t xml:space="preserve"> impact</w:t>
      </w:r>
      <w:r w:rsidR="00833935">
        <w:rPr>
          <w:lang w:val="en-GB"/>
        </w:rPr>
        <w:t xml:space="preserve"> on reported VWART </w:t>
      </w:r>
      <w:r w:rsidR="00A27C4C">
        <w:rPr>
          <w:lang w:val="en-GB"/>
        </w:rPr>
        <w:t xml:space="preserve">figures </w:t>
      </w:r>
      <w:r w:rsidR="00833935">
        <w:rPr>
          <w:lang w:val="en-GB"/>
        </w:rPr>
        <w:t xml:space="preserve">across HIUs. </w:t>
      </w:r>
    </w:p>
    <w:p w14:paraId="12F859DB" w14:textId="5EEAB176" w:rsidR="00A45074" w:rsidRDefault="00A45074" w:rsidP="00ED51D1">
      <w:pPr>
        <w:pStyle w:val="Heading2"/>
        <w:ind w:hanging="792"/>
        <w:rPr>
          <w:rFonts w:asciiTheme="minorHAnsi" w:hAnsiTheme="minorHAnsi"/>
          <w:sz w:val="22"/>
          <w:szCs w:val="24"/>
        </w:rPr>
      </w:pPr>
      <w:r w:rsidRPr="00A45074">
        <w:rPr>
          <w:rFonts w:asciiTheme="minorHAnsi" w:hAnsiTheme="minorHAnsi"/>
          <w:sz w:val="22"/>
          <w:szCs w:val="24"/>
        </w:rPr>
        <w:t>Consideration 3</w:t>
      </w:r>
    </w:p>
    <w:p w14:paraId="0FBE7EFB" w14:textId="77777777" w:rsidR="003C1942" w:rsidRDefault="001210C2" w:rsidP="00A45074">
      <w:pPr>
        <w:rPr>
          <w:lang w:val="en-GB"/>
        </w:rPr>
      </w:pPr>
      <w:r>
        <w:rPr>
          <w:lang w:val="en-GB"/>
        </w:rPr>
        <w:t xml:space="preserve">The proposal is to include a new DHW test in the next </w:t>
      </w:r>
      <w:r w:rsidR="00285327">
        <w:rPr>
          <w:lang w:val="en-GB"/>
        </w:rPr>
        <w:t xml:space="preserve">revision of the </w:t>
      </w:r>
      <w:r w:rsidR="00285327">
        <w:rPr>
          <w:rFonts w:cstheme="minorHAnsi"/>
        </w:rPr>
        <w:t>BESA HIU Test Standard, which</w:t>
      </w:r>
      <w:r w:rsidR="00CC19A7">
        <w:rPr>
          <w:lang w:val="en-GB"/>
        </w:rPr>
        <w:t xml:space="preserve"> </w:t>
      </w:r>
      <w:r w:rsidR="00944DA5">
        <w:rPr>
          <w:lang w:val="en-GB"/>
        </w:rPr>
        <w:t>test</w:t>
      </w:r>
      <w:r w:rsidR="003C1942">
        <w:rPr>
          <w:lang w:val="en-GB"/>
        </w:rPr>
        <w:t>s</w:t>
      </w:r>
      <w:r w:rsidR="006E45B5">
        <w:rPr>
          <w:lang w:val="en-GB"/>
        </w:rPr>
        <w:t xml:space="preserve"> DHW output temperature </w:t>
      </w:r>
      <w:r w:rsidR="00422352">
        <w:rPr>
          <w:lang w:val="en-GB"/>
        </w:rPr>
        <w:t>as</w:t>
      </w:r>
      <w:r w:rsidR="006E45B5">
        <w:rPr>
          <w:lang w:val="en-GB"/>
        </w:rPr>
        <w:t xml:space="preserve"> </w:t>
      </w:r>
      <w:r w:rsidR="00422352">
        <w:rPr>
          <w:lang w:val="en-GB"/>
        </w:rPr>
        <w:t>DHW</w:t>
      </w:r>
      <w:r w:rsidR="006E45B5">
        <w:rPr>
          <w:lang w:val="en-GB"/>
        </w:rPr>
        <w:t xml:space="preserve"> flow rate</w:t>
      </w:r>
      <w:r w:rsidR="00944DA5">
        <w:rPr>
          <w:lang w:val="en-GB"/>
        </w:rPr>
        <w:t xml:space="preserve"> </w:t>
      </w:r>
      <w:r w:rsidR="00422352">
        <w:rPr>
          <w:lang w:val="en-GB"/>
        </w:rPr>
        <w:t>increases</w:t>
      </w:r>
      <w:r w:rsidR="00944DA5">
        <w:rPr>
          <w:lang w:val="en-GB"/>
        </w:rPr>
        <w:t>. This will effectively</w:t>
      </w:r>
      <w:r w:rsidR="006E45B5">
        <w:rPr>
          <w:lang w:val="en-GB"/>
        </w:rPr>
        <w:t xml:space="preserve"> </w:t>
      </w:r>
      <w:r w:rsidR="00422352">
        <w:rPr>
          <w:lang w:val="en-GB"/>
        </w:rPr>
        <w:t>enable</w:t>
      </w:r>
      <w:r w:rsidR="006E45B5">
        <w:rPr>
          <w:lang w:val="en-GB"/>
        </w:rPr>
        <w:t xml:space="preserve"> engineers</w:t>
      </w:r>
      <w:r w:rsidR="007C4E50">
        <w:rPr>
          <w:lang w:val="en-GB"/>
        </w:rPr>
        <w:t xml:space="preserve"> to assess</w:t>
      </w:r>
      <w:r w:rsidR="006E45B5">
        <w:rPr>
          <w:lang w:val="en-GB"/>
        </w:rPr>
        <w:t xml:space="preserve"> the maximum output of HIU</w:t>
      </w:r>
      <w:r w:rsidR="007C4E50">
        <w:rPr>
          <w:lang w:val="en-GB"/>
        </w:rPr>
        <w:t>s</w:t>
      </w:r>
      <w:r w:rsidR="003C1942">
        <w:rPr>
          <w:lang w:val="en-GB"/>
        </w:rPr>
        <w:t xml:space="preserve"> at design condition</w:t>
      </w:r>
      <w:r w:rsidR="006E45B5">
        <w:rPr>
          <w:lang w:val="en-GB"/>
        </w:rPr>
        <w:t>.</w:t>
      </w:r>
      <w:r w:rsidR="00A3141D">
        <w:rPr>
          <w:lang w:val="en-GB"/>
        </w:rPr>
        <w:t xml:space="preserve"> </w:t>
      </w:r>
    </w:p>
    <w:p w14:paraId="35D50C5D" w14:textId="28C0CE41" w:rsidR="00871A49" w:rsidRDefault="00A3141D" w:rsidP="00A45074">
      <w:pPr>
        <w:rPr>
          <w:lang w:val="en-GB"/>
        </w:rPr>
      </w:pPr>
      <w:r>
        <w:rPr>
          <w:lang w:val="en-GB"/>
        </w:rPr>
        <w:t>This test</w:t>
      </w:r>
      <w:r w:rsidR="008D00AB">
        <w:rPr>
          <w:lang w:val="en-GB"/>
        </w:rPr>
        <w:t xml:space="preserve"> </w:t>
      </w:r>
      <w:r w:rsidR="00EC042C">
        <w:rPr>
          <w:lang w:val="en-GB"/>
        </w:rPr>
        <w:t>would be</w:t>
      </w:r>
      <w:r>
        <w:rPr>
          <w:lang w:val="en-GB"/>
        </w:rPr>
        <w:t xml:space="preserve"> more relevant </w:t>
      </w:r>
      <w:r w:rsidR="00EC042C">
        <w:rPr>
          <w:lang w:val="en-GB"/>
        </w:rPr>
        <w:t>given a</w:t>
      </w:r>
      <w:r>
        <w:rPr>
          <w:lang w:val="en-GB"/>
        </w:rPr>
        <w:t xml:space="preserve"> 10°C</w:t>
      </w:r>
      <w:r w:rsidR="00EC042C">
        <w:rPr>
          <w:lang w:val="en-GB"/>
        </w:rPr>
        <w:t xml:space="preserve"> CWS, as this is more representative of </w:t>
      </w:r>
      <w:r w:rsidR="00801908">
        <w:rPr>
          <w:lang w:val="en-GB"/>
        </w:rPr>
        <w:t xml:space="preserve">design conditions. </w:t>
      </w:r>
      <w:r w:rsidR="00E71266">
        <w:rPr>
          <w:lang w:val="en-GB"/>
        </w:rPr>
        <w:t xml:space="preserve"> </w:t>
      </w:r>
    </w:p>
    <w:p w14:paraId="02669928" w14:textId="5486F17B" w:rsidR="00871A49" w:rsidRDefault="00871A49" w:rsidP="00871A49">
      <w:pPr>
        <w:pStyle w:val="Heading2"/>
        <w:ind w:hanging="792"/>
        <w:rPr>
          <w:rFonts w:asciiTheme="minorHAnsi" w:hAnsiTheme="minorHAnsi"/>
          <w:sz w:val="22"/>
          <w:szCs w:val="24"/>
        </w:rPr>
      </w:pPr>
      <w:r w:rsidRPr="00A45074">
        <w:rPr>
          <w:rFonts w:asciiTheme="minorHAnsi" w:hAnsiTheme="minorHAnsi"/>
          <w:sz w:val="22"/>
          <w:szCs w:val="24"/>
        </w:rPr>
        <w:t xml:space="preserve">Consideration </w:t>
      </w:r>
      <w:r>
        <w:rPr>
          <w:rFonts w:asciiTheme="minorHAnsi" w:hAnsiTheme="minorHAnsi"/>
          <w:sz w:val="22"/>
          <w:szCs w:val="24"/>
        </w:rPr>
        <w:t>4</w:t>
      </w:r>
    </w:p>
    <w:p w14:paraId="350E4AE7" w14:textId="3A4563A7" w:rsidR="00871A49" w:rsidRDefault="009E285F" w:rsidP="00871A49">
      <w:pPr>
        <w:rPr>
          <w:lang w:val="en-GB"/>
        </w:rPr>
      </w:pPr>
      <w:r>
        <w:rPr>
          <w:lang w:val="en-GB"/>
        </w:rPr>
        <w:t xml:space="preserve">The response time tests (5a and 5b) </w:t>
      </w:r>
      <w:r w:rsidR="008A3FD0">
        <w:rPr>
          <w:lang w:val="en-GB"/>
        </w:rPr>
        <w:t xml:space="preserve">would be significantly impacted by an increase in </w:t>
      </w:r>
      <w:r w:rsidR="00FB52F9">
        <w:rPr>
          <w:lang w:val="en-GB"/>
        </w:rPr>
        <w:t>CWS test.</w:t>
      </w:r>
    </w:p>
    <w:p w14:paraId="130CDE8E" w14:textId="6A775598" w:rsidR="00FB52F9" w:rsidRDefault="00FB52F9" w:rsidP="00871A49">
      <w:pPr>
        <w:rPr>
          <w:lang w:val="en-GB"/>
        </w:rPr>
      </w:pPr>
      <w:r>
        <w:rPr>
          <w:lang w:val="en-GB"/>
        </w:rPr>
        <w:t xml:space="preserve">As these tests are designed to ensure sufficiently rapid </w:t>
      </w:r>
      <w:r w:rsidR="00F7372B">
        <w:rPr>
          <w:lang w:val="en-GB"/>
        </w:rPr>
        <w:t xml:space="preserve">delivery of DHW to residents, a shift to an </w:t>
      </w:r>
      <w:r w:rsidR="00F7372B" w:rsidRPr="00F7372B">
        <w:rPr>
          <w:i/>
          <w:iCs/>
          <w:lang w:val="en-GB"/>
        </w:rPr>
        <w:t>average</w:t>
      </w:r>
      <w:r w:rsidR="00F7372B">
        <w:rPr>
          <w:lang w:val="en-GB"/>
        </w:rPr>
        <w:t xml:space="preserve"> CWS temperature would risk </w:t>
      </w:r>
      <w:r w:rsidR="005D6141">
        <w:rPr>
          <w:lang w:val="en-GB"/>
        </w:rPr>
        <w:t xml:space="preserve">DHW response times being longer than 15 seconds for a significant portion of the year and designers would need to take this into consideration. In effect, this would devalue the </w:t>
      </w:r>
      <w:r w:rsidR="00410C2A">
        <w:rPr>
          <w:lang w:val="en-GB"/>
        </w:rPr>
        <w:t xml:space="preserve">data from this test. </w:t>
      </w:r>
    </w:p>
    <w:p w14:paraId="57A7C850" w14:textId="1C5B29D1" w:rsidR="00A45074" w:rsidRDefault="00410C2A" w:rsidP="00A45074">
      <w:pPr>
        <w:rPr>
          <w:lang w:val="en-GB"/>
        </w:rPr>
      </w:pPr>
      <w:r>
        <w:rPr>
          <w:lang w:val="en-GB"/>
        </w:rPr>
        <w:t xml:space="preserve">As such, retaining a 10°C CWS temperature would provide more useful data in this context and be in line with </w:t>
      </w:r>
      <w:r w:rsidR="00A07B51">
        <w:rPr>
          <w:lang w:val="en-GB"/>
        </w:rPr>
        <w:t xml:space="preserve">the goal of </w:t>
      </w:r>
      <w:r>
        <w:rPr>
          <w:lang w:val="en-GB"/>
        </w:rPr>
        <w:t xml:space="preserve">protecting resident </w:t>
      </w:r>
      <w:r w:rsidR="00A07B51">
        <w:rPr>
          <w:lang w:val="en-GB"/>
        </w:rPr>
        <w:t>comfort.</w:t>
      </w:r>
    </w:p>
    <w:p w14:paraId="415B65D2" w14:textId="2DDE3AFE" w:rsidR="007D4B18" w:rsidRPr="002E42D8" w:rsidRDefault="007D4B18" w:rsidP="007D4B18">
      <w:pPr>
        <w:pStyle w:val="Heading1"/>
        <w:rPr>
          <w:rFonts w:asciiTheme="minorHAnsi" w:hAnsiTheme="minorHAnsi"/>
          <w:b/>
          <w:bCs/>
          <w:sz w:val="22"/>
          <w:szCs w:val="26"/>
        </w:rPr>
      </w:pPr>
      <w:r w:rsidRPr="007D4B18">
        <w:rPr>
          <w:rFonts w:asciiTheme="minorHAnsi" w:hAnsiTheme="minorHAnsi"/>
          <w:b/>
          <w:bCs/>
          <w:sz w:val="22"/>
          <w:szCs w:val="26"/>
        </w:rPr>
        <w:t>Conclusion</w:t>
      </w:r>
    </w:p>
    <w:p w14:paraId="54C5D215" w14:textId="4EE8E71D" w:rsidR="00A07B51" w:rsidRDefault="006A7273" w:rsidP="007D4B18">
      <w:pPr>
        <w:rPr>
          <w:lang w:val="en-GB"/>
        </w:rPr>
      </w:pPr>
      <w:r>
        <w:rPr>
          <w:lang w:val="en-GB"/>
        </w:rPr>
        <w:t xml:space="preserve">There are valid arguments for </w:t>
      </w:r>
      <w:r w:rsidR="00B7795A">
        <w:rPr>
          <w:lang w:val="en-GB"/>
        </w:rPr>
        <w:t xml:space="preserve">both retaining a 10°C CWS temperature and for increasing it to </w:t>
      </w:r>
      <w:r w:rsidR="001912D4">
        <w:rPr>
          <w:lang w:val="en-GB"/>
        </w:rPr>
        <w:t>15°C.</w:t>
      </w:r>
    </w:p>
    <w:p w14:paraId="0425A9E3" w14:textId="4313EF5E" w:rsidR="007E38E5" w:rsidRDefault="001912D4" w:rsidP="007D4B18">
      <w:pPr>
        <w:rPr>
          <w:lang w:val="en-GB"/>
        </w:rPr>
      </w:pPr>
      <w:r>
        <w:rPr>
          <w:lang w:val="en-GB"/>
        </w:rPr>
        <w:t xml:space="preserve">While the use of a 15°C would be likely to </w:t>
      </w:r>
      <w:r w:rsidR="00E1526A">
        <w:rPr>
          <w:lang w:val="en-GB"/>
        </w:rPr>
        <w:t xml:space="preserve">yield a more accurate VWART, it would not </w:t>
      </w:r>
      <w:r w:rsidR="007E38E5">
        <w:rPr>
          <w:lang w:val="en-GB"/>
        </w:rPr>
        <w:t xml:space="preserve">have any impact on the comparative performance of HIUs on this metric. As such, the increase would not </w:t>
      </w:r>
      <w:r w:rsidR="00C56E2E">
        <w:rPr>
          <w:lang w:val="en-GB"/>
        </w:rPr>
        <w:t xml:space="preserve">have a significant benefit </w:t>
      </w:r>
      <w:r w:rsidR="00AE63E4">
        <w:rPr>
          <w:lang w:val="en-GB"/>
        </w:rPr>
        <w:t>on</w:t>
      </w:r>
      <w:r w:rsidR="00C56E2E">
        <w:rPr>
          <w:lang w:val="en-GB"/>
        </w:rPr>
        <w:t xml:space="preserve"> the primary objective of the test.</w:t>
      </w:r>
    </w:p>
    <w:p w14:paraId="6BD37EC9" w14:textId="141C934F" w:rsidR="00C56E2E" w:rsidRDefault="00C56E2E" w:rsidP="007D4B18">
      <w:pPr>
        <w:rPr>
          <w:lang w:val="en-GB"/>
        </w:rPr>
      </w:pPr>
      <w:r>
        <w:rPr>
          <w:lang w:val="en-GB"/>
        </w:rPr>
        <w:t xml:space="preserve">Conversely, there are a number of advantages to utilising a </w:t>
      </w:r>
      <w:r w:rsidR="001B6A4F">
        <w:rPr>
          <w:lang w:val="en-GB"/>
        </w:rPr>
        <w:t xml:space="preserve">10°C CWS temperature with regards to the utility of test data for design purposes. </w:t>
      </w:r>
    </w:p>
    <w:p w14:paraId="1802B332" w14:textId="58B871DC" w:rsidR="00094310" w:rsidRPr="002E42D8" w:rsidRDefault="00EC4332" w:rsidP="00AE6976">
      <w:pPr>
        <w:pStyle w:val="Heading1"/>
        <w:rPr>
          <w:rFonts w:asciiTheme="minorHAnsi" w:hAnsiTheme="minorHAnsi"/>
          <w:b/>
          <w:bCs/>
          <w:sz w:val="22"/>
          <w:szCs w:val="22"/>
        </w:rPr>
      </w:pPr>
      <w:r w:rsidRPr="00FC5E4D">
        <w:rPr>
          <w:rFonts w:asciiTheme="minorHAnsi" w:hAnsiTheme="minorHAnsi"/>
          <w:b/>
          <w:bCs/>
          <w:sz w:val="22"/>
          <w:szCs w:val="22"/>
        </w:rPr>
        <w:t>Recommendation</w:t>
      </w:r>
    </w:p>
    <w:p w14:paraId="5A683DAE" w14:textId="025FCF97" w:rsidR="00A53FA8" w:rsidRDefault="00A53FA8" w:rsidP="00AE6976">
      <w:pPr>
        <w:rPr>
          <w:b/>
          <w:bCs/>
          <w:lang w:val="en-GB"/>
        </w:rPr>
      </w:pPr>
      <w:r>
        <w:rPr>
          <w:lang w:val="en-GB"/>
        </w:rPr>
        <w:t>Due to the arguments discussed in the section</w:t>
      </w:r>
      <w:r w:rsidR="00120E4D">
        <w:rPr>
          <w:lang w:val="en-GB"/>
        </w:rPr>
        <w:t>s</w:t>
      </w:r>
      <w:r>
        <w:rPr>
          <w:lang w:val="en-GB"/>
        </w:rPr>
        <w:t xml:space="preserve"> above</w:t>
      </w:r>
      <w:r w:rsidR="00120E4D">
        <w:rPr>
          <w:lang w:val="en-GB"/>
        </w:rPr>
        <w:t xml:space="preserve">, </w:t>
      </w:r>
      <w:r w:rsidR="00120E4D" w:rsidRPr="00120E4D">
        <w:rPr>
          <w:b/>
          <w:bCs/>
          <w:lang w:val="en-GB"/>
        </w:rPr>
        <w:t>the recommendation is to maintain the CWS temperature at 10°C for DHW tests.</w:t>
      </w:r>
    </w:p>
    <w:p w14:paraId="4132B21A" w14:textId="77777777" w:rsidR="00DA2498" w:rsidRDefault="00DA2498" w:rsidP="00AE6976">
      <w:pPr>
        <w:rPr>
          <w:b/>
          <w:bCs/>
          <w:lang w:val="en-GB"/>
        </w:rPr>
      </w:pPr>
    </w:p>
    <w:p w14:paraId="00B83D09" w14:textId="14E231B4" w:rsidR="00DE687E" w:rsidRDefault="00DE687E" w:rsidP="003F027B">
      <w:pPr>
        <w:pStyle w:val="Heading1"/>
        <w:rPr>
          <w:rFonts w:asciiTheme="minorHAnsi" w:hAnsiTheme="minorHAnsi" w:cstheme="minorHAnsi"/>
          <w:b/>
          <w:sz w:val="22"/>
          <w:szCs w:val="22"/>
        </w:rPr>
      </w:pPr>
      <w:r w:rsidRPr="0068185E">
        <w:rPr>
          <w:rFonts w:asciiTheme="minorHAnsi" w:hAnsiTheme="minorHAnsi" w:cstheme="minorHAnsi"/>
          <w:b/>
          <w:sz w:val="22"/>
          <w:szCs w:val="22"/>
        </w:rPr>
        <w:t>References</w:t>
      </w:r>
    </w:p>
    <w:p w14:paraId="1164617C" w14:textId="65E233BD" w:rsidR="00E255A4" w:rsidRPr="00E255A4" w:rsidRDefault="00E255A4" w:rsidP="00E255A4">
      <w:pPr>
        <w:rPr>
          <w:lang w:val="en-GB"/>
        </w:rPr>
      </w:pPr>
      <w:r>
        <w:rPr>
          <w:lang w:val="en-GB"/>
        </w:rPr>
        <w:t>[</w:t>
      </w:r>
      <w:r w:rsidR="002E604E">
        <w:rPr>
          <w:lang w:val="en-GB"/>
        </w:rPr>
        <w:t>1</w:t>
      </w:r>
      <w:r>
        <w:rPr>
          <w:lang w:val="en-GB"/>
        </w:rPr>
        <w:t>] – Certification of District Heating Substations. Technical Regulations F:103-7e, Swedish District Heating Association, April 2009.</w:t>
      </w:r>
    </w:p>
    <w:p w14:paraId="74335F8B" w14:textId="4F2FDED8" w:rsidR="00E255A4" w:rsidRPr="002E604E" w:rsidRDefault="00DE687E" w:rsidP="00701A1C">
      <w:pPr>
        <w:jc w:val="both"/>
        <w:rPr>
          <w:rFonts w:ascii="Verdana" w:hAnsi="Verdana"/>
          <w:color w:val="000000"/>
          <w:sz w:val="20"/>
          <w:szCs w:val="20"/>
          <w:shd w:val="clear" w:color="auto" w:fill="FFFFFF"/>
        </w:rPr>
      </w:pPr>
      <w:r w:rsidRPr="0068185E">
        <w:rPr>
          <w:rFonts w:cstheme="minorHAnsi"/>
        </w:rPr>
        <w:t>[</w:t>
      </w:r>
      <w:r w:rsidR="002E604E">
        <w:rPr>
          <w:rFonts w:cstheme="minorHAnsi"/>
        </w:rPr>
        <w:t>2</w:t>
      </w:r>
      <w:r w:rsidRPr="0068185E">
        <w:rPr>
          <w:rFonts w:cstheme="minorHAnsi"/>
        </w:rPr>
        <w:t xml:space="preserve">] </w:t>
      </w:r>
      <w:r w:rsidR="00FC1620">
        <w:rPr>
          <w:rFonts w:cstheme="minorHAnsi"/>
        </w:rPr>
        <w:t xml:space="preserve">- </w:t>
      </w:r>
      <w:r w:rsidR="00FC1620" w:rsidRPr="00E255A4">
        <w:rPr>
          <w:rFonts w:cstheme="minorHAnsi"/>
          <w:color w:val="000000"/>
          <w:shd w:val="clear" w:color="auto" w:fill="FFFFFF"/>
        </w:rPr>
        <w:t xml:space="preserve">The Government’s Standard Assessment Procedure for Energy Rating </w:t>
      </w:r>
      <w:r w:rsidR="00C00731" w:rsidRPr="00E255A4">
        <w:rPr>
          <w:rFonts w:cstheme="minorHAnsi"/>
          <w:color w:val="000000"/>
          <w:shd w:val="clear" w:color="auto" w:fill="FFFFFF"/>
        </w:rPr>
        <w:t>o</w:t>
      </w:r>
      <w:r w:rsidR="00FC1620" w:rsidRPr="00E255A4">
        <w:rPr>
          <w:rFonts w:cstheme="minorHAnsi"/>
          <w:color w:val="000000"/>
          <w:shd w:val="clear" w:color="auto" w:fill="FFFFFF"/>
        </w:rPr>
        <w:t>f Dwellings</w:t>
      </w:r>
      <w:r w:rsidR="00E255A4">
        <w:rPr>
          <w:rFonts w:cstheme="minorHAnsi"/>
          <w:color w:val="000000"/>
          <w:shd w:val="clear" w:color="auto" w:fill="FFFFFF"/>
        </w:rPr>
        <w:t>, SAP 2012 v 9.92, October 2013</w:t>
      </w:r>
      <w:r w:rsidR="002E604E">
        <w:rPr>
          <w:rFonts w:cstheme="minorHAnsi"/>
          <w:color w:val="000000"/>
          <w:shd w:val="clear" w:color="auto" w:fill="FFFFFF"/>
        </w:rPr>
        <w:t>.</w:t>
      </w:r>
    </w:p>
    <w:p w14:paraId="708F21A9" w14:textId="2501B2BD" w:rsidR="00471551" w:rsidRPr="0068185E" w:rsidRDefault="00471551" w:rsidP="00017C28">
      <w:pPr>
        <w:ind w:right="645"/>
        <w:jc w:val="both"/>
        <w:rPr>
          <w:rFonts w:cstheme="minorHAnsi"/>
          <w:b/>
          <w:lang w:val="en-GB"/>
        </w:rPr>
      </w:pPr>
    </w:p>
    <w:sectPr w:rsidR="00471551" w:rsidRPr="0068185E" w:rsidSect="002945CC">
      <w:headerReference w:type="default" r:id="rId12"/>
      <w:headerReference w:type="first" r:id="rId13"/>
      <w:pgSz w:w="12240" w:h="15840" w:code="1"/>
      <w:pgMar w:top="993" w:right="1467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287C9" w14:textId="77777777" w:rsidR="002D3CC5" w:rsidRDefault="002D3CC5">
      <w:pPr>
        <w:spacing w:after="0" w:line="240" w:lineRule="auto"/>
      </w:pPr>
      <w:r>
        <w:separator/>
      </w:r>
    </w:p>
  </w:endnote>
  <w:endnote w:type="continuationSeparator" w:id="0">
    <w:p w14:paraId="527C4B45" w14:textId="77777777" w:rsidR="002D3CC5" w:rsidRDefault="002D3CC5">
      <w:pPr>
        <w:spacing w:after="0" w:line="240" w:lineRule="auto"/>
      </w:pPr>
      <w:r>
        <w:continuationSeparator/>
      </w:r>
    </w:p>
  </w:endnote>
  <w:endnote w:type="continuationNotice" w:id="1">
    <w:p w14:paraId="6235CBFB" w14:textId="77777777" w:rsidR="002D3CC5" w:rsidRDefault="002D3C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jdhani Semibold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ajdhani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18834" w14:textId="77777777" w:rsidR="002D3CC5" w:rsidRDefault="002D3CC5">
      <w:pPr>
        <w:spacing w:after="0" w:line="240" w:lineRule="auto"/>
      </w:pPr>
      <w:r>
        <w:separator/>
      </w:r>
    </w:p>
  </w:footnote>
  <w:footnote w:type="continuationSeparator" w:id="0">
    <w:p w14:paraId="555172B7" w14:textId="77777777" w:rsidR="002D3CC5" w:rsidRDefault="002D3CC5">
      <w:pPr>
        <w:spacing w:after="0" w:line="240" w:lineRule="auto"/>
      </w:pPr>
      <w:r>
        <w:continuationSeparator/>
      </w:r>
    </w:p>
  </w:footnote>
  <w:footnote w:type="continuationNotice" w:id="1">
    <w:p w14:paraId="2196B04E" w14:textId="77777777" w:rsidR="002D3CC5" w:rsidRDefault="002D3C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540BE" w14:textId="77777777" w:rsidR="00A53A57" w:rsidRDefault="00A53A57" w:rsidP="00CE723C">
    <w:pPr>
      <w:pStyle w:val="Header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B4369" w14:textId="77777777" w:rsidR="00A53A57" w:rsidRDefault="00A53A57" w:rsidP="00CE723C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91CDF"/>
    <w:multiLevelType w:val="hybridMultilevel"/>
    <w:tmpl w:val="DD303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8780B"/>
    <w:multiLevelType w:val="multilevel"/>
    <w:tmpl w:val="224ADB7C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6DD4807"/>
    <w:multiLevelType w:val="hybridMultilevel"/>
    <w:tmpl w:val="F4342E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EB0664"/>
    <w:multiLevelType w:val="hybridMultilevel"/>
    <w:tmpl w:val="C38444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8EE"/>
    <w:rsid w:val="000030C3"/>
    <w:rsid w:val="00005C0A"/>
    <w:rsid w:val="00006E3F"/>
    <w:rsid w:val="00010800"/>
    <w:rsid w:val="00016AC9"/>
    <w:rsid w:val="00016F21"/>
    <w:rsid w:val="00017C28"/>
    <w:rsid w:val="00024C44"/>
    <w:rsid w:val="00037430"/>
    <w:rsid w:val="00041CC4"/>
    <w:rsid w:val="00046D7D"/>
    <w:rsid w:val="00063809"/>
    <w:rsid w:val="000710A0"/>
    <w:rsid w:val="00081541"/>
    <w:rsid w:val="00085D2F"/>
    <w:rsid w:val="0008639B"/>
    <w:rsid w:val="000916ED"/>
    <w:rsid w:val="00094310"/>
    <w:rsid w:val="000A003A"/>
    <w:rsid w:val="000A1211"/>
    <w:rsid w:val="000A4606"/>
    <w:rsid w:val="000A514D"/>
    <w:rsid w:val="000A7BA8"/>
    <w:rsid w:val="000B40D7"/>
    <w:rsid w:val="000C6750"/>
    <w:rsid w:val="000D2257"/>
    <w:rsid w:val="000D246E"/>
    <w:rsid w:val="000D7182"/>
    <w:rsid w:val="000E2B11"/>
    <w:rsid w:val="000E4169"/>
    <w:rsid w:val="00102BEB"/>
    <w:rsid w:val="001068EA"/>
    <w:rsid w:val="00110E35"/>
    <w:rsid w:val="001123DB"/>
    <w:rsid w:val="001147C0"/>
    <w:rsid w:val="00120E4D"/>
    <w:rsid w:val="001210C2"/>
    <w:rsid w:val="00122DE1"/>
    <w:rsid w:val="00136822"/>
    <w:rsid w:val="00141959"/>
    <w:rsid w:val="0014408D"/>
    <w:rsid w:val="001443B2"/>
    <w:rsid w:val="00146175"/>
    <w:rsid w:val="00151ED7"/>
    <w:rsid w:val="00153FCA"/>
    <w:rsid w:val="00160554"/>
    <w:rsid w:val="00161265"/>
    <w:rsid w:val="00166E78"/>
    <w:rsid w:val="00171091"/>
    <w:rsid w:val="001825C8"/>
    <w:rsid w:val="00185FEA"/>
    <w:rsid w:val="001912D4"/>
    <w:rsid w:val="00192E26"/>
    <w:rsid w:val="0019568D"/>
    <w:rsid w:val="001A067F"/>
    <w:rsid w:val="001A7657"/>
    <w:rsid w:val="001A795E"/>
    <w:rsid w:val="001B695A"/>
    <w:rsid w:val="001B6A4F"/>
    <w:rsid w:val="001C0EDE"/>
    <w:rsid w:val="001C2801"/>
    <w:rsid w:val="001E4FA5"/>
    <w:rsid w:val="001F0BCE"/>
    <w:rsid w:val="001F4EA9"/>
    <w:rsid w:val="00201511"/>
    <w:rsid w:val="002027FD"/>
    <w:rsid w:val="00202973"/>
    <w:rsid w:val="00205D6F"/>
    <w:rsid w:val="00223137"/>
    <w:rsid w:val="0022707A"/>
    <w:rsid w:val="00232566"/>
    <w:rsid w:val="002355F5"/>
    <w:rsid w:val="00241E64"/>
    <w:rsid w:val="0024528F"/>
    <w:rsid w:val="00251018"/>
    <w:rsid w:val="00252304"/>
    <w:rsid w:val="00254F66"/>
    <w:rsid w:val="00255B0C"/>
    <w:rsid w:val="0025728A"/>
    <w:rsid w:val="002751DB"/>
    <w:rsid w:val="002833B4"/>
    <w:rsid w:val="00285327"/>
    <w:rsid w:val="00286DEF"/>
    <w:rsid w:val="00287A5F"/>
    <w:rsid w:val="002945CC"/>
    <w:rsid w:val="002A21DA"/>
    <w:rsid w:val="002A6108"/>
    <w:rsid w:val="002A689B"/>
    <w:rsid w:val="002B2232"/>
    <w:rsid w:val="002C0D2B"/>
    <w:rsid w:val="002C12E6"/>
    <w:rsid w:val="002D0FC6"/>
    <w:rsid w:val="002D3CC5"/>
    <w:rsid w:val="002D606D"/>
    <w:rsid w:val="002D62B8"/>
    <w:rsid w:val="002E33CE"/>
    <w:rsid w:val="002E42D8"/>
    <w:rsid w:val="002E55CB"/>
    <w:rsid w:val="002E604E"/>
    <w:rsid w:val="002E77CC"/>
    <w:rsid w:val="003064E2"/>
    <w:rsid w:val="00322EFD"/>
    <w:rsid w:val="003256D9"/>
    <w:rsid w:val="00327E03"/>
    <w:rsid w:val="00335488"/>
    <w:rsid w:val="00335544"/>
    <w:rsid w:val="0033694B"/>
    <w:rsid w:val="00350630"/>
    <w:rsid w:val="00364EC7"/>
    <w:rsid w:val="00370376"/>
    <w:rsid w:val="00372C88"/>
    <w:rsid w:val="00373DAB"/>
    <w:rsid w:val="00380244"/>
    <w:rsid w:val="00383B04"/>
    <w:rsid w:val="00385AD8"/>
    <w:rsid w:val="00393D26"/>
    <w:rsid w:val="00394D8B"/>
    <w:rsid w:val="003A2B4F"/>
    <w:rsid w:val="003A3364"/>
    <w:rsid w:val="003B2B94"/>
    <w:rsid w:val="003C1942"/>
    <w:rsid w:val="003C1C3F"/>
    <w:rsid w:val="003C1FBC"/>
    <w:rsid w:val="003C7C6F"/>
    <w:rsid w:val="003D1507"/>
    <w:rsid w:val="003D3199"/>
    <w:rsid w:val="003F027B"/>
    <w:rsid w:val="003F4720"/>
    <w:rsid w:val="003F7809"/>
    <w:rsid w:val="00406464"/>
    <w:rsid w:val="00410C2A"/>
    <w:rsid w:val="00412AAC"/>
    <w:rsid w:val="0041304B"/>
    <w:rsid w:val="004141A0"/>
    <w:rsid w:val="00417615"/>
    <w:rsid w:val="00422352"/>
    <w:rsid w:val="004250AB"/>
    <w:rsid w:val="00427FAC"/>
    <w:rsid w:val="004322A5"/>
    <w:rsid w:val="00436E17"/>
    <w:rsid w:val="00442888"/>
    <w:rsid w:val="00447479"/>
    <w:rsid w:val="0045429D"/>
    <w:rsid w:val="00462B0A"/>
    <w:rsid w:val="0046314B"/>
    <w:rsid w:val="00471551"/>
    <w:rsid w:val="00472094"/>
    <w:rsid w:val="004767A9"/>
    <w:rsid w:val="004813E6"/>
    <w:rsid w:val="00481B98"/>
    <w:rsid w:val="00482752"/>
    <w:rsid w:val="00483F46"/>
    <w:rsid w:val="00486806"/>
    <w:rsid w:val="00497E6A"/>
    <w:rsid w:val="004B061E"/>
    <w:rsid w:val="004C2371"/>
    <w:rsid w:val="004C39ED"/>
    <w:rsid w:val="004C4E6D"/>
    <w:rsid w:val="004C656E"/>
    <w:rsid w:val="004D4981"/>
    <w:rsid w:val="004E02FF"/>
    <w:rsid w:val="004E29E7"/>
    <w:rsid w:val="004F41FB"/>
    <w:rsid w:val="00503911"/>
    <w:rsid w:val="00505EA4"/>
    <w:rsid w:val="00506DC8"/>
    <w:rsid w:val="00515AC9"/>
    <w:rsid w:val="00516F43"/>
    <w:rsid w:val="00535478"/>
    <w:rsid w:val="005375E2"/>
    <w:rsid w:val="005426E6"/>
    <w:rsid w:val="005479E4"/>
    <w:rsid w:val="00552C56"/>
    <w:rsid w:val="00555E6C"/>
    <w:rsid w:val="005730E1"/>
    <w:rsid w:val="005738A7"/>
    <w:rsid w:val="005A4166"/>
    <w:rsid w:val="005B5F60"/>
    <w:rsid w:val="005C4948"/>
    <w:rsid w:val="005D2785"/>
    <w:rsid w:val="005D2B1E"/>
    <w:rsid w:val="005D4014"/>
    <w:rsid w:val="005D4332"/>
    <w:rsid w:val="005D6141"/>
    <w:rsid w:val="005E3183"/>
    <w:rsid w:val="005E3B87"/>
    <w:rsid w:val="005F1268"/>
    <w:rsid w:val="005F32FB"/>
    <w:rsid w:val="0060016A"/>
    <w:rsid w:val="00606B76"/>
    <w:rsid w:val="006072ED"/>
    <w:rsid w:val="00614063"/>
    <w:rsid w:val="0061415F"/>
    <w:rsid w:val="00624E9C"/>
    <w:rsid w:val="0062671C"/>
    <w:rsid w:val="00630808"/>
    <w:rsid w:val="006312B1"/>
    <w:rsid w:val="00635557"/>
    <w:rsid w:val="0063724C"/>
    <w:rsid w:val="00644915"/>
    <w:rsid w:val="0064639A"/>
    <w:rsid w:val="0065002A"/>
    <w:rsid w:val="0065050F"/>
    <w:rsid w:val="00650EDB"/>
    <w:rsid w:val="0066179F"/>
    <w:rsid w:val="006657FD"/>
    <w:rsid w:val="0068185E"/>
    <w:rsid w:val="0068649D"/>
    <w:rsid w:val="006940EC"/>
    <w:rsid w:val="00694CD3"/>
    <w:rsid w:val="006A0E19"/>
    <w:rsid w:val="006A261A"/>
    <w:rsid w:val="006A2F96"/>
    <w:rsid w:val="006A7273"/>
    <w:rsid w:val="006A78EE"/>
    <w:rsid w:val="006B3F01"/>
    <w:rsid w:val="006B41D7"/>
    <w:rsid w:val="006C12DA"/>
    <w:rsid w:val="006D0A95"/>
    <w:rsid w:val="006E188D"/>
    <w:rsid w:val="006E45B5"/>
    <w:rsid w:val="006E6C3A"/>
    <w:rsid w:val="006F270F"/>
    <w:rsid w:val="006F410B"/>
    <w:rsid w:val="006F7C5C"/>
    <w:rsid w:val="00701A1C"/>
    <w:rsid w:val="00702784"/>
    <w:rsid w:val="00705D1F"/>
    <w:rsid w:val="00714358"/>
    <w:rsid w:val="00715F96"/>
    <w:rsid w:val="00716019"/>
    <w:rsid w:val="007165FD"/>
    <w:rsid w:val="00716A98"/>
    <w:rsid w:val="0072196B"/>
    <w:rsid w:val="00727399"/>
    <w:rsid w:val="00727F39"/>
    <w:rsid w:val="00730ED8"/>
    <w:rsid w:val="00733A52"/>
    <w:rsid w:val="007358B4"/>
    <w:rsid w:val="007359CB"/>
    <w:rsid w:val="007476AF"/>
    <w:rsid w:val="00747A7B"/>
    <w:rsid w:val="00747C1E"/>
    <w:rsid w:val="007501EA"/>
    <w:rsid w:val="0075780C"/>
    <w:rsid w:val="00772E4B"/>
    <w:rsid w:val="0077585F"/>
    <w:rsid w:val="007758F9"/>
    <w:rsid w:val="00776BB5"/>
    <w:rsid w:val="007848B9"/>
    <w:rsid w:val="00786411"/>
    <w:rsid w:val="007879FC"/>
    <w:rsid w:val="00787A54"/>
    <w:rsid w:val="00792F69"/>
    <w:rsid w:val="00795D3A"/>
    <w:rsid w:val="00796AD3"/>
    <w:rsid w:val="00797D3E"/>
    <w:rsid w:val="007B37C4"/>
    <w:rsid w:val="007C170F"/>
    <w:rsid w:val="007C4E50"/>
    <w:rsid w:val="007C68F8"/>
    <w:rsid w:val="007D19D0"/>
    <w:rsid w:val="007D4B18"/>
    <w:rsid w:val="007E38E5"/>
    <w:rsid w:val="007F425A"/>
    <w:rsid w:val="007F77DA"/>
    <w:rsid w:val="00801908"/>
    <w:rsid w:val="00802110"/>
    <w:rsid w:val="00803E10"/>
    <w:rsid w:val="00814A63"/>
    <w:rsid w:val="008226D2"/>
    <w:rsid w:val="0082683E"/>
    <w:rsid w:val="00831D8F"/>
    <w:rsid w:val="00832A31"/>
    <w:rsid w:val="00833935"/>
    <w:rsid w:val="008363E9"/>
    <w:rsid w:val="00836B55"/>
    <w:rsid w:val="008408AE"/>
    <w:rsid w:val="00841A61"/>
    <w:rsid w:val="008450C7"/>
    <w:rsid w:val="00853467"/>
    <w:rsid w:val="008671EC"/>
    <w:rsid w:val="00871A49"/>
    <w:rsid w:val="0087348A"/>
    <w:rsid w:val="00875708"/>
    <w:rsid w:val="00886D00"/>
    <w:rsid w:val="00890084"/>
    <w:rsid w:val="00890D4C"/>
    <w:rsid w:val="0089122F"/>
    <w:rsid w:val="008A0699"/>
    <w:rsid w:val="008A317C"/>
    <w:rsid w:val="008A3EE5"/>
    <w:rsid w:val="008A3FD0"/>
    <w:rsid w:val="008A59BA"/>
    <w:rsid w:val="008A7339"/>
    <w:rsid w:val="008A73B1"/>
    <w:rsid w:val="008B02E4"/>
    <w:rsid w:val="008B1C3E"/>
    <w:rsid w:val="008B2DCF"/>
    <w:rsid w:val="008D00AB"/>
    <w:rsid w:val="008F0B30"/>
    <w:rsid w:val="008F210D"/>
    <w:rsid w:val="008F63FC"/>
    <w:rsid w:val="00910C4D"/>
    <w:rsid w:val="00912591"/>
    <w:rsid w:val="00914BE2"/>
    <w:rsid w:val="00914DD1"/>
    <w:rsid w:val="00917406"/>
    <w:rsid w:val="00917A03"/>
    <w:rsid w:val="00921C9C"/>
    <w:rsid w:val="00925ABD"/>
    <w:rsid w:val="0092684B"/>
    <w:rsid w:val="009271E7"/>
    <w:rsid w:val="00927CBD"/>
    <w:rsid w:val="00934B7A"/>
    <w:rsid w:val="009351F2"/>
    <w:rsid w:val="00944DA5"/>
    <w:rsid w:val="00947611"/>
    <w:rsid w:val="00947FA1"/>
    <w:rsid w:val="009501B8"/>
    <w:rsid w:val="00953654"/>
    <w:rsid w:val="00956228"/>
    <w:rsid w:val="00963398"/>
    <w:rsid w:val="009664E9"/>
    <w:rsid w:val="00967E59"/>
    <w:rsid w:val="00970137"/>
    <w:rsid w:val="00971A5B"/>
    <w:rsid w:val="00973C5B"/>
    <w:rsid w:val="00974AF1"/>
    <w:rsid w:val="00991D8C"/>
    <w:rsid w:val="00994503"/>
    <w:rsid w:val="0099644F"/>
    <w:rsid w:val="009A38EE"/>
    <w:rsid w:val="009A6619"/>
    <w:rsid w:val="009B0E05"/>
    <w:rsid w:val="009B2319"/>
    <w:rsid w:val="009C5367"/>
    <w:rsid w:val="009C74B6"/>
    <w:rsid w:val="009C75D3"/>
    <w:rsid w:val="009D3C9E"/>
    <w:rsid w:val="009D4181"/>
    <w:rsid w:val="009D55A0"/>
    <w:rsid w:val="009D55EF"/>
    <w:rsid w:val="009D6252"/>
    <w:rsid w:val="009D7A2D"/>
    <w:rsid w:val="009D7C52"/>
    <w:rsid w:val="009E285F"/>
    <w:rsid w:val="009E2B03"/>
    <w:rsid w:val="009E3D9B"/>
    <w:rsid w:val="009F573F"/>
    <w:rsid w:val="009F5C86"/>
    <w:rsid w:val="00A074E9"/>
    <w:rsid w:val="00A07B51"/>
    <w:rsid w:val="00A16F67"/>
    <w:rsid w:val="00A26620"/>
    <w:rsid w:val="00A27C4C"/>
    <w:rsid w:val="00A3141D"/>
    <w:rsid w:val="00A33458"/>
    <w:rsid w:val="00A44A49"/>
    <w:rsid w:val="00A45074"/>
    <w:rsid w:val="00A53A57"/>
    <w:rsid w:val="00A53C11"/>
    <w:rsid w:val="00A53FA8"/>
    <w:rsid w:val="00A554D6"/>
    <w:rsid w:val="00A612AA"/>
    <w:rsid w:val="00A63617"/>
    <w:rsid w:val="00A67A92"/>
    <w:rsid w:val="00A75691"/>
    <w:rsid w:val="00A770C3"/>
    <w:rsid w:val="00A80C55"/>
    <w:rsid w:val="00A96E33"/>
    <w:rsid w:val="00AA1D76"/>
    <w:rsid w:val="00AA4A99"/>
    <w:rsid w:val="00AA7242"/>
    <w:rsid w:val="00AB1FA3"/>
    <w:rsid w:val="00AB2778"/>
    <w:rsid w:val="00AC129D"/>
    <w:rsid w:val="00AC1887"/>
    <w:rsid w:val="00AC24F1"/>
    <w:rsid w:val="00AC254B"/>
    <w:rsid w:val="00AC38FF"/>
    <w:rsid w:val="00AC4391"/>
    <w:rsid w:val="00AC447B"/>
    <w:rsid w:val="00AC59CB"/>
    <w:rsid w:val="00AD25AC"/>
    <w:rsid w:val="00AD2E03"/>
    <w:rsid w:val="00AD3663"/>
    <w:rsid w:val="00AD7C39"/>
    <w:rsid w:val="00AE15F5"/>
    <w:rsid w:val="00AE63E4"/>
    <w:rsid w:val="00AE6976"/>
    <w:rsid w:val="00AF085A"/>
    <w:rsid w:val="00AF2213"/>
    <w:rsid w:val="00B06630"/>
    <w:rsid w:val="00B10495"/>
    <w:rsid w:val="00B15071"/>
    <w:rsid w:val="00B236D1"/>
    <w:rsid w:val="00B23882"/>
    <w:rsid w:val="00B2424E"/>
    <w:rsid w:val="00B266F0"/>
    <w:rsid w:val="00B3183E"/>
    <w:rsid w:val="00B36104"/>
    <w:rsid w:val="00B36BCE"/>
    <w:rsid w:val="00B370CE"/>
    <w:rsid w:val="00B41E61"/>
    <w:rsid w:val="00B435F6"/>
    <w:rsid w:val="00B4743F"/>
    <w:rsid w:val="00B5003E"/>
    <w:rsid w:val="00B51ADA"/>
    <w:rsid w:val="00B52F24"/>
    <w:rsid w:val="00B5487A"/>
    <w:rsid w:val="00B6764D"/>
    <w:rsid w:val="00B7795A"/>
    <w:rsid w:val="00B82125"/>
    <w:rsid w:val="00B86987"/>
    <w:rsid w:val="00B93EE4"/>
    <w:rsid w:val="00BA3279"/>
    <w:rsid w:val="00BA54AF"/>
    <w:rsid w:val="00BA5F7E"/>
    <w:rsid w:val="00BB39C6"/>
    <w:rsid w:val="00BB5780"/>
    <w:rsid w:val="00BD19E7"/>
    <w:rsid w:val="00BD41D5"/>
    <w:rsid w:val="00BD7045"/>
    <w:rsid w:val="00BE792F"/>
    <w:rsid w:val="00BF63A8"/>
    <w:rsid w:val="00C00731"/>
    <w:rsid w:val="00C027BD"/>
    <w:rsid w:val="00C02C88"/>
    <w:rsid w:val="00C15187"/>
    <w:rsid w:val="00C314B0"/>
    <w:rsid w:val="00C33405"/>
    <w:rsid w:val="00C36C20"/>
    <w:rsid w:val="00C41EF4"/>
    <w:rsid w:val="00C42053"/>
    <w:rsid w:val="00C45690"/>
    <w:rsid w:val="00C518CC"/>
    <w:rsid w:val="00C51D0C"/>
    <w:rsid w:val="00C524C4"/>
    <w:rsid w:val="00C53C9B"/>
    <w:rsid w:val="00C56E2E"/>
    <w:rsid w:val="00C600E1"/>
    <w:rsid w:val="00C77C2A"/>
    <w:rsid w:val="00C82827"/>
    <w:rsid w:val="00C833B3"/>
    <w:rsid w:val="00C84358"/>
    <w:rsid w:val="00C87553"/>
    <w:rsid w:val="00C905A2"/>
    <w:rsid w:val="00C91E83"/>
    <w:rsid w:val="00C97A3F"/>
    <w:rsid w:val="00CA446F"/>
    <w:rsid w:val="00CA52E6"/>
    <w:rsid w:val="00CA68AD"/>
    <w:rsid w:val="00CB4DD7"/>
    <w:rsid w:val="00CC19A7"/>
    <w:rsid w:val="00CC19E7"/>
    <w:rsid w:val="00CC2404"/>
    <w:rsid w:val="00CD088C"/>
    <w:rsid w:val="00CE0357"/>
    <w:rsid w:val="00CE723C"/>
    <w:rsid w:val="00D03704"/>
    <w:rsid w:val="00D05BF2"/>
    <w:rsid w:val="00D1524B"/>
    <w:rsid w:val="00D16AB9"/>
    <w:rsid w:val="00D21FA2"/>
    <w:rsid w:val="00D26D9F"/>
    <w:rsid w:val="00D32AAF"/>
    <w:rsid w:val="00D36A1B"/>
    <w:rsid w:val="00D44894"/>
    <w:rsid w:val="00D45369"/>
    <w:rsid w:val="00D61501"/>
    <w:rsid w:val="00D63618"/>
    <w:rsid w:val="00D760DC"/>
    <w:rsid w:val="00D803AE"/>
    <w:rsid w:val="00D8386A"/>
    <w:rsid w:val="00D83EA4"/>
    <w:rsid w:val="00D84A4C"/>
    <w:rsid w:val="00D85AC7"/>
    <w:rsid w:val="00D87270"/>
    <w:rsid w:val="00D908A4"/>
    <w:rsid w:val="00D97032"/>
    <w:rsid w:val="00DA2498"/>
    <w:rsid w:val="00DB5C08"/>
    <w:rsid w:val="00DC7767"/>
    <w:rsid w:val="00DC7A9D"/>
    <w:rsid w:val="00DD2B61"/>
    <w:rsid w:val="00DD640E"/>
    <w:rsid w:val="00DE687E"/>
    <w:rsid w:val="00DF6E92"/>
    <w:rsid w:val="00E0036E"/>
    <w:rsid w:val="00E03FAE"/>
    <w:rsid w:val="00E100B5"/>
    <w:rsid w:val="00E10C0C"/>
    <w:rsid w:val="00E1526A"/>
    <w:rsid w:val="00E1649B"/>
    <w:rsid w:val="00E212AE"/>
    <w:rsid w:val="00E24886"/>
    <w:rsid w:val="00E255A4"/>
    <w:rsid w:val="00E27540"/>
    <w:rsid w:val="00E3073B"/>
    <w:rsid w:val="00E30ACA"/>
    <w:rsid w:val="00E33E50"/>
    <w:rsid w:val="00E3628C"/>
    <w:rsid w:val="00E367A8"/>
    <w:rsid w:val="00E40B4D"/>
    <w:rsid w:val="00E42E69"/>
    <w:rsid w:val="00E4518A"/>
    <w:rsid w:val="00E4572D"/>
    <w:rsid w:val="00E53138"/>
    <w:rsid w:val="00E5741D"/>
    <w:rsid w:val="00E664A2"/>
    <w:rsid w:val="00E71266"/>
    <w:rsid w:val="00E756A1"/>
    <w:rsid w:val="00E76C8B"/>
    <w:rsid w:val="00E77170"/>
    <w:rsid w:val="00E86136"/>
    <w:rsid w:val="00E868F5"/>
    <w:rsid w:val="00E921EE"/>
    <w:rsid w:val="00E93194"/>
    <w:rsid w:val="00EA556F"/>
    <w:rsid w:val="00EB2BAD"/>
    <w:rsid w:val="00EB55AF"/>
    <w:rsid w:val="00EC042C"/>
    <w:rsid w:val="00EC2F18"/>
    <w:rsid w:val="00EC4332"/>
    <w:rsid w:val="00EC7BF9"/>
    <w:rsid w:val="00EC7CF5"/>
    <w:rsid w:val="00ED51D1"/>
    <w:rsid w:val="00EE40E6"/>
    <w:rsid w:val="00EE6D9D"/>
    <w:rsid w:val="00EF70C1"/>
    <w:rsid w:val="00F02696"/>
    <w:rsid w:val="00F04A4F"/>
    <w:rsid w:val="00F12B0F"/>
    <w:rsid w:val="00F3044D"/>
    <w:rsid w:val="00F316F7"/>
    <w:rsid w:val="00F33504"/>
    <w:rsid w:val="00F43A5F"/>
    <w:rsid w:val="00F4602F"/>
    <w:rsid w:val="00F5063C"/>
    <w:rsid w:val="00F56190"/>
    <w:rsid w:val="00F61A65"/>
    <w:rsid w:val="00F62BAF"/>
    <w:rsid w:val="00F6499B"/>
    <w:rsid w:val="00F65E20"/>
    <w:rsid w:val="00F7372B"/>
    <w:rsid w:val="00F77501"/>
    <w:rsid w:val="00F831B8"/>
    <w:rsid w:val="00F95286"/>
    <w:rsid w:val="00FA3596"/>
    <w:rsid w:val="00FA39E7"/>
    <w:rsid w:val="00FB1157"/>
    <w:rsid w:val="00FB517D"/>
    <w:rsid w:val="00FB52F9"/>
    <w:rsid w:val="00FC0444"/>
    <w:rsid w:val="00FC1620"/>
    <w:rsid w:val="00FC222B"/>
    <w:rsid w:val="00FC5E4D"/>
    <w:rsid w:val="00FD1C44"/>
    <w:rsid w:val="00FD67CB"/>
    <w:rsid w:val="00FE19FC"/>
    <w:rsid w:val="00FE60AA"/>
    <w:rsid w:val="00FF1E1A"/>
    <w:rsid w:val="00FF35CE"/>
    <w:rsid w:val="00FF6CDE"/>
    <w:rsid w:val="01A404C1"/>
    <w:rsid w:val="183B021C"/>
    <w:rsid w:val="29E3FD0B"/>
    <w:rsid w:val="4AA25A7C"/>
    <w:rsid w:val="4BD5B1A6"/>
    <w:rsid w:val="4FDD4EA2"/>
    <w:rsid w:val="6EE08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832EA3"/>
  <w15:docId w15:val="{B90C89F8-2EEF-484E-BCD7-2C02CFD34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503"/>
  </w:style>
  <w:style w:type="paragraph" w:styleId="Heading1">
    <w:name w:val="heading 1"/>
    <w:aliases w:val="[F] H1"/>
    <w:basedOn w:val="Normal"/>
    <w:next w:val="Normal"/>
    <w:link w:val="Heading1Char"/>
    <w:uiPriority w:val="9"/>
    <w:qFormat/>
    <w:rsid w:val="00F43A5F"/>
    <w:pPr>
      <w:keepNext/>
      <w:keepLines/>
      <w:numPr>
        <w:numId w:val="1"/>
      </w:numPr>
      <w:spacing w:before="240" w:after="0" w:line="259" w:lineRule="auto"/>
      <w:jc w:val="both"/>
      <w:outlineLvl w:val="0"/>
    </w:pPr>
    <w:rPr>
      <w:rFonts w:ascii="Rajdhani Semibold" w:eastAsiaTheme="majorEastAsia" w:hAnsi="Rajdhani Semibold" w:cs="Rajdhani Semibold"/>
      <w:sz w:val="32"/>
      <w:szCs w:val="32"/>
      <w:lang w:val="en-GB"/>
    </w:rPr>
  </w:style>
  <w:style w:type="paragraph" w:styleId="Heading2">
    <w:name w:val="heading 2"/>
    <w:aliases w:val="[F] H2"/>
    <w:basedOn w:val="Normal"/>
    <w:next w:val="Normal"/>
    <w:link w:val="Heading2Char"/>
    <w:uiPriority w:val="9"/>
    <w:unhideWhenUsed/>
    <w:qFormat/>
    <w:rsid w:val="00F43A5F"/>
    <w:pPr>
      <w:keepNext/>
      <w:keepLines/>
      <w:numPr>
        <w:ilvl w:val="1"/>
        <w:numId w:val="1"/>
      </w:numPr>
      <w:spacing w:before="120" w:after="120" w:line="259" w:lineRule="auto"/>
      <w:jc w:val="both"/>
      <w:outlineLvl w:val="1"/>
    </w:pPr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paragraph" w:styleId="Heading3">
    <w:name w:val="heading 3"/>
    <w:aliases w:val="[F] H3"/>
    <w:basedOn w:val="Normal"/>
    <w:next w:val="Normal"/>
    <w:link w:val="Heading3Char"/>
    <w:uiPriority w:val="9"/>
    <w:unhideWhenUsed/>
    <w:qFormat/>
    <w:rsid w:val="00F43A5F"/>
    <w:pPr>
      <w:keepNext/>
      <w:keepLines/>
      <w:numPr>
        <w:ilvl w:val="2"/>
        <w:numId w:val="1"/>
      </w:numPr>
      <w:spacing w:before="160" w:after="120" w:line="259" w:lineRule="auto"/>
      <w:jc w:val="both"/>
      <w:outlineLvl w:val="2"/>
    </w:pPr>
    <w:rPr>
      <w:rFonts w:ascii="Rajdhani Semibold" w:eastAsiaTheme="majorEastAsia" w:hAnsi="Rajdhani Semibold" w:cs="Rajdhani Semibold"/>
      <w:sz w:val="24"/>
      <w:szCs w:val="24"/>
      <w:lang w:val="en-GB"/>
    </w:rPr>
  </w:style>
  <w:style w:type="paragraph" w:styleId="Heading4">
    <w:name w:val="heading 4"/>
    <w:aliases w:val="[F] H4"/>
    <w:basedOn w:val="Heading3"/>
    <w:next w:val="Normal"/>
    <w:link w:val="Heading4Char"/>
    <w:uiPriority w:val="9"/>
    <w:unhideWhenUsed/>
    <w:qFormat/>
    <w:rsid w:val="00F43A5F"/>
    <w:pPr>
      <w:numPr>
        <w:ilvl w:val="3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8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71551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7155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7155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19E7"/>
    <w:pPr>
      <w:tabs>
        <w:tab w:val="center" w:pos="4320"/>
        <w:tab w:val="right" w:pos="8640"/>
      </w:tabs>
      <w:spacing w:after="0" w:line="240" w:lineRule="auto"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C19E7"/>
    <w:rPr>
      <w:rFonts w:ascii="Trebuchet MS" w:eastAsia="Times New Roman" w:hAnsi="Trebuchet MS" w:cs="Times New Roman"/>
      <w:sz w:val="20"/>
      <w:szCs w:val="20"/>
      <w:lang w:val="en-GB"/>
    </w:rPr>
  </w:style>
  <w:style w:type="paragraph" w:customStyle="1" w:styleId="Default">
    <w:name w:val="Default"/>
    <w:rsid w:val="00D05BF2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D05BF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D03704"/>
    <w:rPr>
      <w:b/>
      <w:bCs/>
    </w:rPr>
  </w:style>
  <w:style w:type="character" w:customStyle="1" w:styleId="Heading1Char">
    <w:name w:val="Heading 1 Char"/>
    <w:aliases w:val="[F] H1 Char"/>
    <w:basedOn w:val="DefaultParagraphFont"/>
    <w:link w:val="Heading1"/>
    <w:uiPriority w:val="9"/>
    <w:rsid w:val="00F43A5F"/>
    <w:rPr>
      <w:rFonts w:ascii="Rajdhani Semibold" w:eastAsiaTheme="majorEastAsia" w:hAnsi="Rajdhani Semibold" w:cs="Rajdhani Semibold"/>
      <w:sz w:val="32"/>
      <w:szCs w:val="32"/>
      <w:lang w:val="en-GB"/>
    </w:rPr>
  </w:style>
  <w:style w:type="character" w:customStyle="1" w:styleId="Heading2Char">
    <w:name w:val="Heading 2 Char"/>
    <w:aliases w:val="[F] H2 Char"/>
    <w:basedOn w:val="DefaultParagraphFont"/>
    <w:link w:val="Heading2"/>
    <w:uiPriority w:val="9"/>
    <w:rsid w:val="00F43A5F"/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character" w:customStyle="1" w:styleId="Heading3Char">
    <w:name w:val="Heading 3 Char"/>
    <w:aliases w:val="[F] H3 Char"/>
    <w:basedOn w:val="DefaultParagraphFont"/>
    <w:link w:val="Heading3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Heading4Char">
    <w:name w:val="Heading 4 Char"/>
    <w:aliases w:val="[F] H4 Char"/>
    <w:basedOn w:val="DefaultParagraphFont"/>
    <w:link w:val="Heading4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Title2Char">
    <w:name w:val="Title 2 Char"/>
    <w:basedOn w:val="DefaultParagraphFont"/>
    <w:link w:val="Title2"/>
    <w:locked/>
    <w:rsid w:val="00F43A5F"/>
    <w:rPr>
      <w:rFonts w:ascii="Rajdhani" w:eastAsiaTheme="majorEastAsia" w:hAnsi="Rajdhani" w:cstheme="majorBidi"/>
      <w:b/>
      <w:spacing w:val="-10"/>
      <w:kern w:val="28"/>
      <w:sz w:val="44"/>
      <w:szCs w:val="44"/>
    </w:rPr>
  </w:style>
  <w:style w:type="paragraph" w:customStyle="1" w:styleId="Title2">
    <w:name w:val="Title 2"/>
    <w:basedOn w:val="Title"/>
    <w:link w:val="Title2Char"/>
    <w:qFormat/>
    <w:rsid w:val="00F43A5F"/>
    <w:pPr>
      <w:spacing w:before="120" w:line="276" w:lineRule="auto"/>
      <w:jc w:val="both"/>
    </w:pPr>
    <w:rPr>
      <w:rFonts w:ascii="Rajdhani" w:hAnsi="Rajdhani"/>
      <w:b/>
      <w:sz w:val="44"/>
      <w:szCs w:val="44"/>
    </w:rPr>
  </w:style>
  <w:style w:type="paragraph" w:styleId="Title">
    <w:name w:val="Title"/>
    <w:basedOn w:val="Normal"/>
    <w:next w:val="Normal"/>
    <w:link w:val="TitleChar"/>
    <w:uiPriority w:val="10"/>
    <w:qFormat/>
    <w:rsid w:val="00F43A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3A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ooter">
    <w:name w:val="footer"/>
    <w:basedOn w:val="Normal"/>
    <w:link w:val="FooterChar"/>
    <w:uiPriority w:val="99"/>
    <w:semiHidden/>
    <w:unhideWhenUsed/>
    <w:rsid w:val="00776B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6BB5"/>
  </w:style>
  <w:style w:type="paragraph" w:styleId="Caption">
    <w:name w:val="caption"/>
    <w:basedOn w:val="Normal"/>
    <w:next w:val="Normal"/>
    <w:uiPriority w:val="35"/>
    <w:unhideWhenUsed/>
    <w:qFormat/>
    <w:rsid w:val="004C656E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5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B91B6-82E9-400D-A68D-629E31BE4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4d8203-4eba-47b9-82f0-06811e3cd0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ACE809-DF8C-446C-BBAE-677C118DC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B3AAFC-9F62-479E-8323-5DF2FB0BC6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120BEF-B7C0-4E44-8076-36DBB95F0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738</Words>
  <Characters>4210</Characters>
  <Application>Microsoft Office Word</Application>
  <DocSecurity>0</DocSecurity>
  <Lines>35</Lines>
  <Paragraphs>9</Paragraphs>
  <ScaleCrop>false</ScaleCrop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</dc:creator>
  <cp:keywords/>
  <cp:lastModifiedBy>Gareth Jones</cp:lastModifiedBy>
  <cp:revision>80</cp:revision>
  <cp:lastPrinted>2019-01-12T00:22:00Z</cp:lastPrinted>
  <dcterms:created xsi:type="dcterms:W3CDTF">2020-09-21T09:36:00Z</dcterms:created>
  <dcterms:modified xsi:type="dcterms:W3CDTF">2020-09-25T12:23:00Z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