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D8B22" w14:textId="77777777" w:rsidR="003C1C3F" w:rsidRDefault="003C1C3F" w:rsidP="00F43A5F">
      <w:pPr>
        <w:ind w:hanging="142"/>
        <w:rPr>
          <w:rFonts w:cstheme="minorHAnsi"/>
          <w:noProof/>
          <w:color w:val="000000"/>
          <w:lang w:val="en-GB" w:eastAsia="en-GB"/>
        </w:rPr>
      </w:pPr>
    </w:p>
    <w:p w14:paraId="6C46B900" w14:textId="77777777" w:rsidR="003C1C3F" w:rsidRDefault="003C1C3F" w:rsidP="00F43A5F">
      <w:pPr>
        <w:ind w:hanging="142"/>
        <w:rPr>
          <w:rFonts w:cstheme="minorHAnsi"/>
          <w:noProof/>
          <w:color w:val="000000"/>
          <w:lang w:val="en-GB" w:eastAsia="en-GB"/>
        </w:rPr>
      </w:pPr>
    </w:p>
    <w:p w14:paraId="18641A6E" w14:textId="361F5D30" w:rsidR="00DC7A9D" w:rsidRPr="0068185E" w:rsidRDefault="003C1C3F" w:rsidP="00F43A5F">
      <w:pPr>
        <w:ind w:hanging="142"/>
        <w:rPr>
          <w:rFonts w:cstheme="minorHAnsi"/>
          <w:noProof/>
          <w:color w:val="000000"/>
          <w:lang w:val="en-GB" w:eastAsia="en-GB"/>
        </w:rPr>
      </w:pPr>
      <w:r w:rsidRPr="00BD5553">
        <w:rPr>
          <w:rFonts w:ascii="Arial" w:hAnsi="Arial" w:cs="Arial"/>
          <w:b/>
          <w:noProof/>
          <w:sz w:val="32"/>
          <w:szCs w:val="20"/>
        </w:rPr>
        <w:drawing>
          <wp:anchor distT="0" distB="0" distL="114300" distR="114300" simplePos="0" relativeHeight="251659264" behindDoc="1" locked="0" layoutInCell="1" allowOverlap="1" wp14:anchorId="6522F935" wp14:editId="09BF4ED2">
            <wp:simplePos x="0" y="0"/>
            <wp:positionH relativeFrom="margin">
              <wp:posOffset>0</wp:posOffset>
            </wp:positionH>
            <wp:positionV relativeFrom="page">
              <wp:posOffset>629920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2330"/>
        <w:gridCol w:w="2331"/>
        <w:gridCol w:w="1146"/>
        <w:gridCol w:w="1185"/>
        <w:gridCol w:w="2331"/>
      </w:tblGrid>
      <w:tr w:rsidR="00017C28" w:rsidRPr="0068185E" w14:paraId="286F7613" w14:textId="7C25DBED" w:rsidTr="166901AE">
        <w:tc>
          <w:tcPr>
            <w:tcW w:w="5807" w:type="dxa"/>
            <w:gridSpan w:val="3"/>
          </w:tcPr>
          <w:p w14:paraId="099807CA" w14:textId="4F8BDB60"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Technical Note</w:t>
            </w:r>
          </w:p>
        </w:tc>
        <w:tc>
          <w:tcPr>
            <w:tcW w:w="3516" w:type="dxa"/>
            <w:gridSpan w:val="2"/>
          </w:tcPr>
          <w:p w14:paraId="53730896" w14:textId="6A5B7F9E"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TN</w:t>
            </w:r>
            <w:r w:rsidR="00701A1C" w:rsidRPr="0068185E">
              <w:rPr>
                <w:rFonts w:cstheme="minorHAnsi"/>
                <w:b/>
                <w:sz w:val="32"/>
                <w:szCs w:val="36"/>
              </w:rPr>
              <w:t>-</w:t>
            </w:r>
            <w:r w:rsidR="004E2F28">
              <w:rPr>
                <w:rFonts w:cstheme="minorHAnsi"/>
                <w:b/>
                <w:sz w:val="32"/>
                <w:szCs w:val="36"/>
              </w:rPr>
              <w:t>019</w:t>
            </w:r>
          </w:p>
        </w:tc>
      </w:tr>
      <w:tr w:rsidR="00017C28" w:rsidRPr="0068185E" w14:paraId="3F21FD0F" w14:textId="7F1D3522" w:rsidTr="166901AE">
        <w:tc>
          <w:tcPr>
            <w:tcW w:w="5807" w:type="dxa"/>
            <w:gridSpan w:val="3"/>
          </w:tcPr>
          <w:p w14:paraId="06ECA27B" w14:textId="08993F20" w:rsidR="00017C28" w:rsidRPr="0068185E" w:rsidRDefault="008B2DCF" w:rsidP="00F43A5F">
            <w:pPr>
              <w:spacing w:before="120" w:after="120" w:line="276" w:lineRule="auto"/>
              <w:rPr>
                <w:rFonts w:cstheme="minorHAnsi"/>
                <w:sz w:val="22"/>
                <w:szCs w:val="22"/>
              </w:rPr>
            </w:pPr>
            <w:r w:rsidRPr="0068185E">
              <w:rPr>
                <w:rFonts w:cstheme="minorHAnsi"/>
                <w:b/>
                <w:sz w:val="22"/>
                <w:szCs w:val="22"/>
              </w:rPr>
              <w:t>Test</w:t>
            </w:r>
            <w:r w:rsidR="00017C28" w:rsidRPr="0068185E">
              <w:rPr>
                <w:rFonts w:cstheme="minorHAnsi"/>
                <w:b/>
                <w:sz w:val="22"/>
                <w:szCs w:val="22"/>
              </w:rPr>
              <w:t>:</w:t>
            </w:r>
            <w:r w:rsidR="00017C28" w:rsidRPr="0068185E">
              <w:rPr>
                <w:rFonts w:cstheme="minorHAnsi"/>
                <w:sz w:val="22"/>
                <w:szCs w:val="22"/>
              </w:rPr>
              <w:t xml:space="preserve"> </w:t>
            </w:r>
            <w:r w:rsidR="00EC5FF5">
              <w:rPr>
                <w:rFonts w:cstheme="minorHAnsi"/>
                <w:sz w:val="22"/>
                <w:szCs w:val="22"/>
              </w:rPr>
              <w:t>Domestic Hot Water response time following keep warm</w:t>
            </w:r>
          </w:p>
        </w:tc>
        <w:tc>
          <w:tcPr>
            <w:tcW w:w="3516" w:type="dxa"/>
            <w:gridSpan w:val="2"/>
          </w:tcPr>
          <w:p w14:paraId="1E8C66F8" w14:textId="2C3454F1" w:rsidR="00017C28" w:rsidRPr="0068185E" w:rsidRDefault="00AD7C39" w:rsidP="00F43A5F">
            <w:pPr>
              <w:spacing w:before="120" w:after="120" w:line="276" w:lineRule="auto"/>
              <w:rPr>
                <w:rFonts w:cstheme="minorHAnsi"/>
                <w:sz w:val="22"/>
                <w:szCs w:val="22"/>
              </w:rPr>
            </w:pPr>
            <w:r w:rsidRPr="0068185E">
              <w:rPr>
                <w:rFonts w:cstheme="minorHAnsi"/>
                <w:b/>
                <w:sz w:val="22"/>
                <w:szCs w:val="22"/>
              </w:rPr>
              <w:t>Test no.</w:t>
            </w:r>
            <w:r w:rsidR="00017C28" w:rsidRPr="0068185E">
              <w:rPr>
                <w:rFonts w:cstheme="minorHAnsi"/>
                <w:b/>
                <w:sz w:val="22"/>
                <w:szCs w:val="22"/>
              </w:rPr>
              <w:t>:</w:t>
            </w:r>
            <w:r w:rsidR="00017C28" w:rsidRPr="0068185E">
              <w:rPr>
                <w:rFonts w:cstheme="minorHAnsi"/>
                <w:sz w:val="22"/>
                <w:szCs w:val="22"/>
              </w:rPr>
              <w:t xml:space="preserve"> </w:t>
            </w:r>
            <w:r w:rsidR="00DE6F49">
              <w:rPr>
                <w:rFonts w:cstheme="minorHAnsi"/>
                <w:sz w:val="22"/>
                <w:szCs w:val="22"/>
              </w:rPr>
              <w:t>5a, 5b</w:t>
            </w:r>
          </w:p>
        </w:tc>
      </w:tr>
      <w:tr w:rsidR="003C1C3F" w:rsidRPr="0068185E" w14:paraId="718C8716" w14:textId="77777777" w:rsidTr="166901AE">
        <w:tc>
          <w:tcPr>
            <w:tcW w:w="5807" w:type="dxa"/>
            <w:gridSpan w:val="3"/>
          </w:tcPr>
          <w:p w14:paraId="636F8EFF" w14:textId="015376FB" w:rsidR="003C1C3F" w:rsidRPr="0068185E" w:rsidRDefault="003C1C3F" w:rsidP="00F43A5F">
            <w:pPr>
              <w:spacing w:before="120" w:after="120"/>
              <w:rPr>
                <w:rFonts w:cstheme="minorHAnsi"/>
                <w:b/>
              </w:rPr>
            </w:pPr>
            <w:r w:rsidRPr="0068185E">
              <w:rPr>
                <w:rFonts w:cstheme="minorHAnsi"/>
                <w:b/>
                <w:sz w:val="22"/>
                <w:szCs w:val="22"/>
              </w:rPr>
              <w:t>Assumption:</w:t>
            </w:r>
            <w:r w:rsidR="00102BEB">
              <w:rPr>
                <w:rFonts w:cstheme="minorHAnsi"/>
                <w:b/>
                <w:sz w:val="22"/>
                <w:szCs w:val="22"/>
              </w:rPr>
              <w:t xml:space="preserve"> </w:t>
            </w:r>
            <w:r w:rsidR="00DE6F49">
              <w:rPr>
                <w:rFonts w:cstheme="minorHAnsi"/>
                <w:b/>
                <w:sz w:val="22"/>
                <w:szCs w:val="22"/>
              </w:rPr>
              <w:t>Time to achieve 45</w:t>
            </w:r>
            <w:r w:rsidR="00DE6F49">
              <w:rPr>
                <w:rFonts w:ascii="Calibri" w:hAnsi="Calibri" w:cs="Calibri"/>
                <w:b/>
                <w:sz w:val="22"/>
                <w:szCs w:val="22"/>
              </w:rPr>
              <w:t>°</w:t>
            </w:r>
            <w:r w:rsidR="00DE6F49">
              <w:rPr>
                <w:rFonts w:cstheme="minorHAnsi"/>
                <w:b/>
                <w:sz w:val="22"/>
                <w:szCs w:val="22"/>
              </w:rPr>
              <w:t>C at t32</w:t>
            </w:r>
          </w:p>
        </w:tc>
        <w:tc>
          <w:tcPr>
            <w:tcW w:w="3516" w:type="dxa"/>
            <w:gridSpan w:val="2"/>
          </w:tcPr>
          <w:p w14:paraId="49CDA700" w14:textId="2A0E5F29" w:rsidR="003C1C3F" w:rsidRPr="0068185E" w:rsidRDefault="003C1C3F" w:rsidP="00F43A5F">
            <w:pPr>
              <w:spacing w:before="120" w:after="120"/>
              <w:rPr>
                <w:rFonts w:cstheme="minorHAnsi"/>
                <w:b/>
              </w:rPr>
            </w:pPr>
            <w:r w:rsidRPr="0068185E">
              <w:rPr>
                <w:rFonts w:cstheme="minorHAnsi"/>
                <w:b/>
                <w:sz w:val="22"/>
                <w:szCs w:val="22"/>
              </w:rPr>
              <w:t>Assumption</w:t>
            </w:r>
            <w:r>
              <w:rPr>
                <w:rFonts w:cstheme="minorHAnsi"/>
                <w:b/>
                <w:sz w:val="22"/>
                <w:szCs w:val="22"/>
              </w:rPr>
              <w:t xml:space="preserve"> no:</w:t>
            </w:r>
            <w:r w:rsidR="00102BEB">
              <w:rPr>
                <w:rFonts w:cstheme="minorHAnsi"/>
                <w:b/>
                <w:sz w:val="22"/>
                <w:szCs w:val="22"/>
              </w:rPr>
              <w:t xml:space="preserve"> </w:t>
            </w:r>
            <w:r w:rsidR="00DE6F49">
              <w:rPr>
                <w:rFonts w:cstheme="minorHAnsi"/>
                <w:b/>
                <w:sz w:val="22"/>
                <w:szCs w:val="22"/>
              </w:rPr>
              <w:t>4</w:t>
            </w:r>
            <w:r w:rsidR="0086162D">
              <w:rPr>
                <w:rFonts w:cstheme="minorHAnsi"/>
                <w:b/>
                <w:sz w:val="22"/>
                <w:szCs w:val="22"/>
              </w:rPr>
              <w:t>4</w:t>
            </w:r>
          </w:p>
        </w:tc>
      </w:tr>
      <w:tr w:rsidR="00017C28" w:rsidRPr="0068185E" w14:paraId="654BFA1A" w14:textId="37D4D373" w:rsidTr="166901AE">
        <w:tc>
          <w:tcPr>
            <w:tcW w:w="2330" w:type="dxa"/>
          </w:tcPr>
          <w:p w14:paraId="57E74381" w14:textId="48669A0B" w:rsidR="00017C28" w:rsidRPr="0068185E" w:rsidRDefault="00017C28" w:rsidP="166901AE">
            <w:pPr>
              <w:spacing w:before="120" w:after="120" w:line="276" w:lineRule="auto"/>
              <w:rPr>
                <w:b/>
                <w:bCs/>
                <w:sz w:val="22"/>
                <w:szCs w:val="22"/>
              </w:rPr>
            </w:pPr>
            <w:r w:rsidRPr="166901AE">
              <w:rPr>
                <w:b/>
                <w:bCs/>
                <w:sz w:val="22"/>
                <w:szCs w:val="22"/>
              </w:rPr>
              <w:t>Rev:</w:t>
            </w:r>
            <w:r w:rsidR="00DE6F49" w:rsidRPr="166901AE">
              <w:rPr>
                <w:b/>
                <w:bCs/>
                <w:sz w:val="22"/>
                <w:szCs w:val="22"/>
              </w:rPr>
              <w:t xml:space="preserve"> 1</w:t>
            </w:r>
            <w:r w:rsidR="2B370969" w:rsidRPr="166901AE">
              <w:rPr>
                <w:b/>
                <w:bCs/>
                <w:sz w:val="22"/>
                <w:szCs w:val="22"/>
              </w:rPr>
              <w:t>_02</w:t>
            </w:r>
          </w:p>
          <w:p w14:paraId="1412685A" w14:textId="1C7DBFF3" w:rsidR="00017C28" w:rsidRPr="0068185E" w:rsidRDefault="00017C28" w:rsidP="00F43A5F">
            <w:pPr>
              <w:spacing w:before="120" w:after="120" w:line="276" w:lineRule="auto"/>
              <w:rPr>
                <w:rFonts w:cstheme="minorHAnsi"/>
                <w:sz w:val="22"/>
                <w:szCs w:val="22"/>
              </w:rPr>
            </w:pPr>
          </w:p>
        </w:tc>
        <w:tc>
          <w:tcPr>
            <w:tcW w:w="2331" w:type="dxa"/>
          </w:tcPr>
          <w:p w14:paraId="2EB87D4E" w14:textId="5821DAB2" w:rsidR="00017C28" w:rsidRPr="00102BEB" w:rsidRDefault="00017C28" w:rsidP="166901AE">
            <w:pPr>
              <w:spacing w:before="120" w:after="120" w:line="276" w:lineRule="auto"/>
              <w:rPr>
                <w:sz w:val="22"/>
                <w:szCs w:val="22"/>
              </w:rPr>
            </w:pPr>
            <w:r w:rsidRPr="166901AE">
              <w:rPr>
                <w:b/>
                <w:bCs/>
                <w:sz w:val="22"/>
                <w:szCs w:val="22"/>
              </w:rPr>
              <w:t>Date:</w:t>
            </w:r>
            <w:r w:rsidR="00102BEB" w:rsidRPr="166901AE">
              <w:rPr>
                <w:b/>
                <w:bCs/>
                <w:sz w:val="22"/>
                <w:szCs w:val="22"/>
              </w:rPr>
              <w:t xml:space="preserve"> </w:t>
            </w:r>
            <w:r w:rsidR="007578E4">
              <w:rPr>
                <w:b/>
                <w:bCs/>
                <w:sz w:val="22"/>
                <w:szCs w:val="22"/>
              </w:rPr>
              <w:t>14</w:t>
            </w:r>
            <w:r w:rsidR="00DE6F49" w:rsidRPr="166901AE">
              <w:rPr>
                <w:b/>
                <w:bCs/>
                <w:sz w:val="22"/>
                <w:szCs w:val="22"/>
              </w:rPr>
              <w:t>/</w:t>
            </w:r>
            <w:r w:rsidR="007578E4">
              <w:rPr>
                <w:b/>
                <w:bCs/>
                <w:sz w:val="22"/>
                <w:szCs w:val="22"/>
              </w:rPr>
              <w:t>03</w:t>
            </w:r>
            <w:r w:rsidR="00DE6F49" w:rsidRPr="166901AE">
              <w:rPr>
                <w:b/>
                <w:bCs/>
                <w:sz w:val="22"/>
                <w:szCs w:val="22"/>
              </w:rPr>
              <w:t>/2</w:t>
            </w:r>
            <w:r w:rsidR="007578E4">
              <w:rPr>
                <w:b/>
                <w:bCs/>
                <w:sz w:val="22"/>
                <w:szCs w:val="22"/>
              </w:rPr>
              <w:t>2</w:t>
            </w:r>
          </w:p>
          <w:p w14:paraId="213A08F5" w14:textId="18EF8D5E" w:rsidR="00F43A5F" w:rsidRPr="0068185E" w:rsidRDefault="00F43A5F" w:rsidP="00F43A5F">
            <w:pPr>
              <w:spacing w:before="120" w:after="120" w:line="276" w:lineRule="auto"/>
              <w:rPr>
                <w:rFonts w:cstheme="minorHAnsi"/>
                <w:sz w:val="22"/>
                <w:szCs w:val="22"/>
              </w:rPr>
            </w:pPr>
          </w:p>
        </w:tc>
        <w:tc>
          <w:tcPr>
            <w:tcW w:w="2331" w:type="dxa"/>
            <w:gridSpan w:val="2"/>
          </w:tcPr>
          <w:p w14:paraId="6B6FA489" w14:textId="02A48A71" w:rsidR="00017C28" w:rsidRPr="0068185E" w:rsidRDefault="00017C28" w:rsidP="166901AE">
            <w:pPr>
              <w:spacing w:before="120" w:after="120" w:line="276" w:lineRule="auto"/>
              <w:rPr>
                <w:b/>
                <w:bCs/>
                <w:sz w:val="22"/>
                <w:szCs w:val="22"/>
              </w:rPr>
            </w:pPr>
            <w:r w:rsidRPr="166901AE">
              <w:rPr>
                <w:b/>
                <w:bCs/>
                <w:sz w:val="22"/>
                <w:szCs w:val="22"/>
              </w:rPr>
              <w:t>Author:</w:t>
            </w:r>
            <w:r w:rsidR="00102BEB" w:rsidRPr="166901AE">
              <w:rPr>
                <w:b/>
                <w:bCs/>
                <w:sz w:val="22"/>
                <w:szCs w:val="22"/>
              </w:rPr>
              <w:t xml:space="preserve"> </w:t>
            </w:r>
            <w:r w:rsidR="00DE6F49" w:rsidRPr="166901AE">
              <w:rPr>
                <w:b/>
                <w:bCs/>
                <w:sz w:val="22"/>
                <w:szCs w:val="22"/>
              </w:rPr>
              <w:t>G</w:t>
            </w:r>
            <w:r w:rsidR="7087180F" w:rsidRPr="166901AE">
              <w:rPr>
                <w:b/>
                <w:bCs/>
                <w:sz w:val="22"/>
                <w:szCs w:val="22"/>
              </w:rPr>
              <w:t>areth Jones</w:t>
            </w:r>
          </w:p>
          <w:p w14:paraId="4A7664B0" w14:textId="61E12F49" w:rsidR="00F43A5F" w:rsidRPr="0068185E" w:rsidRDefault="00F43A5F" w:rsidP="00F43A5F">
            <w:pPr>
              <w:spacing w:before="120" w:after="120" w:line="276" w:lineRule="auto"/>
              <w:rPr>
                <w:rFonts w:cstheme="minorHAnsi"/>
                <w:sz w:val="22"/>
                <w:szCs w:val="22"/>
              </w:rPr>
            </w:pPr>
          </w:p>
        </w:tc>
        <w:tc>
          <w:tcPr>
            <w:tcW w:w="2331" w:type="dxa"/>
          </w:tcPr>
          <w:p w14:paraId="5B3DF2DC" w14:textId="2B8F92DF"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Checked:</w:t>
            </w:r>
            <w:r w:rsidR="00274085">
              <w:rPr>
                <w:rFonts w:cstheme="minorHAnsi"/>
                <w:b/>
                <w:sz w:val="22"/>
                <w:szCs w:val="22"/>
              </w:rPr>
              <w:t xml:space="preserve"> Ian Robinson</w:t>
            </w:r>
          </w:p>
          <w:p w14:paraId="7AC0C514" w14:textId="27E323D8" w:rsidR="00F43A5F" w:rsidRPr="0068185E" w:rsidRDefault="00F43A5F" w:rsidP="00F43A5F">
            <w:pPr>
              <w:spacing w:before="120" w:after="120" w:line="276" w:lineRule="auto"/>
              <w:rPr>
                <w:rFonts w:cstheme="minorHAnsi"/>
                <w:sz w:val="22"/>
                <w:szCs w:val="22"/>
              </w:rPr>
            </w:pPr>
          </w:p>
        </w:tc>
      </w:tr>
    </w:tbl>
    <w:p w14:paraId="037C94D1" w14:textId="7D801694" w:rsidR="00A75691" w:rsidRPr="0068185E" w:rsidRDefault="00F43A5F" w:rsidP="00A75691">
      <w:pPr>
        <w:pStyle w:val="Heading1"/>
        <w:rPr>
          <w:rFonts w:asciiTheme="minorHAnsi" w:hAnsiTheme="minorHAnsi" w:cstheme="minorHAnsi"/>
          <w:b/>
          <w:bCs/>
          <w:sz w:val="22"/>
          <w:szCs w:val="22"/>
        </w:rPr>
      </w:pPr>
      <w:bookmarkStart w:id="0" w:name="_Toc514342241"/>
      <w:r w:rsidRPr="0068185E">
        <w:rPr>
          <w:rFonts w:asciiTheme="minorHAnsi" w:hAnsiTheme="minorHAnsi" w:cstheme="minorHAnsi"/>
          <w:b/>
          <w:bCs/>
          <w:sz w:val="22"/>
          <w:szCs w:val="22"/>
        </w:rPr>
        <w:t>Introduction</w:t>
      </w:r>
      <w:bookmarkEnd w:id="0"/>
    </w:p>
    <w:p w14:paraId="69D3C073" w14:textId="790BABFC" w:rsidR="00EC5FF5" w:rsidRPr="00A677BA" w:rsidRDefault="00EC5FF5" w:rsidP="0068185E">
      <w:pPr>
        <w:spacing w:before="240" w:after="120"/>
        <w:jc w:val="both"/>
      </w:pPr>
      <w:r>
        <w:rPr>
          <w:lang w:val="en-GB"/>
        </w:rPr>
        <w:t xml:space="preserve">The DHW response time test was </w:t>
      </w:r>
      <w:r w:rsidR="00A677BA">
        <w:rPr>
          <w:lang w:val="en-GB"/>
        </w:rPr>
        <w:t xml:space="preserve">developed as one of the key tests related to resident comfort within the test regime. It was initially added as a result of steering group member </w:t>
      </w:r>
      <w:r w:rsidR="00A677BA" w:rsidRPr="00DE6F49">
        <w:rPr>
          <w:lang w:val="en-GB"/>
        </w:rPr>
        <w:t xml:space="preserve">experience of resident complaints </w:t>
      </w:r>
      <w:r w:rsidR="00A677BA">
        <w:rPr>
          <w:lang w:val="en-GB"/>
        </w:rPr>
        <w:t>where there are</w:t>
      </w:r>
      <w:r w:rsidR="00A677BA" w:rsidRPr="00DE6F49">
        <w:rPr>
          <w:lang w:val="en-GB"/>
        </w:rPr>
        <w:t xml:space="preserve"> long delivery times</w:t>
      </w:r>
      <w:r w:rsidR="00A677BA">
        <w:rPr>
          <w:lang w:val="en-GB"/>
        </w:rPr>
        <w:t>.</w:t>
      </w:r>
    </w:p>
    <w:p w14:paraId="75033AE6" w14:textId="4ACEFCF7" w:rsidR="00A677BA" w:rsidRDefault="00A677BA" w:rsidP="0068185E">
      <w:pPr>
        <w:spacing w:before="240" w:after="120"/>
        <w:jc w:val="both"/>
        <w:rPr>
          <w:lang w:val="en-GB"/>
        </w:rPr>
      </w:pPr>
      <w:r>
        <w:rPr>
          <w:lang w:val="en-GB"/>
        </w:rPr>
        <w:t>In practice, the test addresses whether the tested HIU can be considered to have a valid “keep warm” function, in that system temperatures are maintained at a level that is sufficient to enable delivery of “hot” water following a long period of standby operation.</w:t>
      </w:r>
    </w:p>
    <w:p w14:paraId="6683B5AC" w14:textId="13655D13" w:rsidR="0073361E" w:rsidRPr="00DE6F49" w:rsidRDefault="00B73DB7" w:rsidP="0073361E">
      <w:pPr>
        <w:spacing w:before="240" w:after="120"/>
        <w:jc w:val="both"/>
        <w:rPr>
          <w:lang w:val="en-GB"/>
        </w:rPr>
      </w:pPr>
      <w:r>
        <w:rPr>
          <w:lang w:val="en-GB"/>
        </w:rPr>
        <w:t xml:space="preserve">The requirement for the period of hot water delivery (15 seconds) was set in order to enable </w:t>
      </w:r>
      <w:r w:rsidR="0073361E">
        <w:rPr>
          <w:lang w:val="en-GB"/>
        </w:rPr>
        <w:t xml:space="preserve">sufficient time for hot water to be delivered from the HIU to the outlet. </w:t>
      </w:r>
      <w:r w:rsidR="00FE6DB7">
        <w:rPr>
          <w:lang w:val="en-GB"/>
        </w:rPr>
        <w:t>The threshold for “hot” was set to 45</w:t>
      </w:r>
      <w:r w:rsidR="00FE6DB7">
        <w:rPr>
          <w:rFonts w:cstheme="minorHAnsi"/>
          <w:lang w:val="en-GB"/>
        </w:rPr>
        <w:t>°</w:t>
      </w:r>
      <w:r w:rsidR="00FE6DB7">
        <w:rPr>
          <w:lang w:val="en-GB"/>
        </w:rPr>
        <w:t>C, as this was the point at which DHW becomes painful, so can be objectively determined as “hot” from a perceptual perspective.</w:t>
      </w:r>
    </w:p>
    <w:p w14:paraId="35EF19E9" w14:textId="68A9EB6E" w:rsidR="0068185E" w:rsidRPr="0068185E" w:rsidRDefault="00DE6F49" w:rsidP="0068185E">
      <w:pPr>
        <w:spacing w:before="240" w:after="120"/>
        <w:jc w:val="both"/>
        <w:rPr>
          <w:lang w:val="en-GB"/>
        </w:rPr>
      </w:pPr>
      <w:r w:rsidRPr="00DE6F49">
        <w:rPr>
          <w:lang w:val="en-GB"/>
        </w:rPr>
        <w:t xml:space="preserve">Anecdotal experience </w:t>
      </w:r>
      <w:r w:rsidR="0073361E">
        <w:rPr>
          <w:lang w:val="en-GB"/>
        </w:rPr>
        <w:t>was that</w:t>
      </w:r>
      <w:r w:rsidRPr="00DE6F49">
        <w:rPr>
          <w:lang w:val="en-GB"/>
        </w:rPr>
        <w:t xml:space="preserve"> complaints </w:t>
      </w:r>
      <w:r w:rsidR="0073361E">
        <w:rPr>
          <w:lang w:val="en-GB"/>
        </w:rPr>
        <w:t xml:space="preserve">occurred </w:t>
      </w:r>
      <w:r w:rsidRPr="00DE6F49">
        <w:rPr>
          <w:lang w:val="en-GB"/>
        </w:rPr>
        <w:t xml:space="preserve">when DHW delivery takes more than 45 seconds. Given average pipe lengths, </w:t>
      </w:r>
      <w:r w:rsidR="0073361E">
        <w:rPr>
          <w:lang w:val="en-GB"/>
        </w:rPr>
        <w:t xml:space="preserve">the </w:t>
      </w:r>
      <w:r w:rsidRPr="00DE6F49">
        <w:rPr>
          <w:lang w:val="en-GB"/>
        </w:rPr>
        <w:t>decision</w:t>
      </w:r>
      <w:r w:rsidR="0073361E">
        <w:rPr>
          <w:lang w:val="en-GB"/>
        </w:rPr>
        <w:t xml:space="preserve"> was</w:t>
      </w:r>
      <w:r w:rsidRPr="00DE6F49">
        <w:rPr>
          <w:lang w:val="en-GB"/>
        </w:rPr>
        <w:t xml:space="preserve"> made that DHW should be generated within 15 seconds in order to meet resident comfort requirements.</w:t>
      </w:r>
    </w:p>
    <w:p w14:paraId="3A5C21DC" w14:textId="3012337A" w:rsidR="00A75691" w:rsidRPr="0068185E" w:rsidRDefault="00F43A5F" w:rsidP="000B4405">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Considerations for </w:t>
      </w:r>
      <w:bookmarkStart w:id="1" w:name="_Toc514342246"/>
      <w:r w:rsidR="00DE6F49">
        <w:rPr>
          <w:rFonts w:asciiTheme="minorHAnsi" w:hAnsiTheme="minorHAnsi" w:cstheme="minorHAnsi"/>
          <w:b/>
          <w:bCs/>
          <w:sz w:val="22"/>
          <w:szCs w:val="22"/>
        </w:rPr>
        <w:t xml:space="preserve">DHW </w:t>
      </w:r>
      <w:r w:rsidR="0073361E">
        <w:rPr>
          <w:rFonts w:asciiTheme="minorHAnsi" w:hAnsiTheme="minorHAnsi" w:cstheme="minorHAnsi"/>
          <w:b/>
          <w:bCs/>
          <w:sz w:val="22"/>
          <w:szCs w:val="22"/>
        </w:rPr>
        <w:t>Response Time</w:t>
      </w:r>
    </w:p>
    <w:bookmarkEnd w:id="1"/>
    <w:p w14:paraId="2F8F3ECE" w14:textId="1F10DB76" w:rsidR="0073361E" w:rsidRDefault="00FC17AA" w:rsidP="0073361E">
      <w:pPr>
        <w:spacing w:before="240" w:after="120"/>
        <w:jc w:val="both"/>
        <w:rPr>
          <w:rFonts w:cstheme="minorHAnsi"/>
        </w:rPr>
      </w:pPr>
      <w:r>
        <w:rPr>
          <w:rFonts w:cstheme="minorHAnsi"/>
        </w:rPr>
        <w:t xml:space="preserve">In determining what an acceptable timeframe is for an HIU to deliver </w:t>
      </w:r>
      <w:r w:rsidR="00EC32C5">
        <w:rPr>
          <w:rFonts w:cstheme="minorHAnsi"/>
        </w:rPr>
        <w:t>hot water of a certain temperature, t</w:t>
      </w:r>
      <w:r w:rsidR="0073361E">
        <w:rPr>
          <w:rFonts w:cstheme="minorHAnsi"/>
        </w:rPr>
        <w:t>he key considerations are:</w:t>
      </w:r>
    </w:p>
    <w:p w14:paraId="2BFCA40E" w14:textId="1CFEDD14" w:rsidR="0073361E" w:rsidRPr="00FE6DB7" w:rsidRDefault="0073361E" w:rsidP="00D87880">
      <w:pPr>
        <w:pStyle w:val="ListParagraph"/>
        <w:numPr>
          <w:ilvl w:val="0"/>
          <w:numId w:val="2"/>
        </w:numPr>
        <w:spacing w:before="240" w:after="120"/>
        <w:jc w:val="both"/>
        <w:rPr>
          <w:rFonts w:cstheme="minorHAnsi"/>
        </w:rPr>
      </w:pPr>
      <w:r>
        <w:rPr>
          <w:rFonts w:cstheme="minorHAnsi"/>
        </w:rPr>
        <w:t>Whether 45</w:t>
      </w:r>
      <w:r w:rsidR="00FE6DB7">
        <w:rPr>
          <w:rFonts w:cstheme="minorHAnsi"/>
        </w:rPr>
        <w:t>°</w:t>
      </w:r>
      <w:r w:rsidR="00FE6DB7">
        <w:t>C is the correct temperature threshold</w:t>
      </w:r>
    </w:p>
    <w:p w14:paraId="16C16147" w14:textId="010C2881" w:rsidR="00FE6DB7" w:rsidRPr="00FE6DB7" w:rsidRDefault="00FE6DB7" w:rsidP="00D87880">
      <w:pPr>
        <w:pStyle w:val="ListParagraph"/>
        <w:numPr>
          <w:ilvl w:val="0"/>
          <w:numId w:val="2"/>
        </w:numPr>
        <w:spacing w:before="240" w:after="120"/>
        <w:jc w:val="both"/>
        <w:rPr>
          <w:rFonts w:cstheme="minorHAnsi"/>
        </w:rPr>
      </w:pPr>
      <w:r>
        <w:rPr>
          <w:rFonts w:cstheme="minorHAnsi"/>
        </w:rPr>
        <w:t>What an acceptable timeframe is for the delivery of hot water to an outlet</w:t>
      </w:r>
    </w:p>
    <w:p w14:paraId="3CEF3AF6" w14:textId="546E340A" w:rsidR="00FE6DB7" w:rsidRPr="00FE6DB7" w:rsidRDefault="00FE6DB7" w:rsidP="00D87880">
      <w:pPr>
        <w:pStyle w:val="ListParagraph"/>
        <w:numPr>
          <w:ilvl w:val="0"/>
          <w:numId w:val="2"/>
        </w:numPr>
        <w:spacing w:before="240" w:after="120"/>
        <w:jc w:val="both"/>
        <w:rPr>
          <w:rFonts w:cstheme="minorHAnsi"/>
        </w:rPr>
      </w:pPr>
      <w:r>
        <w:t xml:space="preserve">The timeframe to deliver hot water from </w:t>
      </w:r>
      <w:r w:rsidR="007063B3">
        <w:t>an HIU to an outlet, given typical pipe lengths</w:t>
      </w:r>
      <w:r w:rsidR="00A63DAD">
        <w:t xml:space="preserve"> and diameters</w:t>
      </w:r>
    </w:p>
    <w:p w14:paraId="09348526" w14:textId="322A73AF" w:rsidR="0068185E" w:rsidRPr="00EC5FF5" w:rsidRDefault="003F027B" w:rsidP="00EC5FF5">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 </w:t>
      </w:r>
      <w:r w:rsidR="00EC32C5">
        <w:rPr>
          <w:rFonts w:asciiTheme="minorHAnsi" w:hAnsiTheme="minorHAnsi" w:cstheme="minorHAnsi"/>
          <w:b/>
          <w:bCs/>
          <w:sz w:val="22"/>
          <w:szCs w:val="22"/>
        </w:rPr>
        <w:t xml:space="preserve">(a) </w:t>
      </w:r>
      <w:r w:rsidR="00DE6F49">
        <w:rPr>
          <w:rFonts w:asciiTheme="minorHAnsi" w:hAnsiTheme="minorHAnsi" w:cstheme="minorHAnsi"/>
          <w:b/>
          <w:bCs/>
          <w:sz w:val="22"/>
          <w:szCs w:val="22"/>
        </w:rPr>
        <w:t>– DHW Temperature</w:t>
      </w:r>
      <w:r w:rsidR="00A63DAD">
        <w:rPr>
          <w:rFonts w:asciiTheme="minorHAnsi" w:hAnsiTheme="minorHAnsi" w:cstheme="minorHAnsi"/>
          <w:b/>
          <w:bCs/>
          <w:sz w:val="22"/>
          <w:szCs w:val="22"/>
        </w:rPr>
        <w:t xml:space="preserve"> Threshold</w:t>
      </w:r>
    </w:p>
    <w:p w14:paraId="1234D912" w14:textId="65445B75" w:rsidR="00DE6F49" w:rsidRDefault="007063B3" w:rsidP="0068185E">
      <w:pPr>
        <w:spacing w:before="240" w:after="120"/>
        <w:jc w:val="both"/>
        <w:rPr>
          <w:lang w:val="en-GB"/>
        </w:rPr>
      </w:pPr>
      <w:r>
        <w:rPr>
          <w:lang w:val="en-GB"/>
        </w:rPr>
        <w:t xml:space="preserve">The key issues with respect to hot water delivery time is what constitutes “hot” from a user perspective. As set out in HSG274, water becomes painful and can cause scalding at </w:t>
      </w:r>
      <w:r w:rsidR="00F7303A">
        <w:rPr>
          <w:lang w:val="en-GB"/>
        </w:rPr>
        <w:t xml:space="preserve">above </w:t>
      </w:r>
      <w:r w:rsidR="00F7303A">
        <w:rPr>
          <w:rFonts w:cstheme="minorHAnsi"/>
        </w:rPr>
        <w:t>44</w:t>
      </w:r>
      <w:r w:rsidR="00F7303A">
        <w:rPr>
          <w:rFonts w:cstheme="minorHAnsi"/>
          <w:lang w:val="en-GB"/>
        </w:rPr>
        <w:t>°</w:t>
      </w:r>
      <w:r w:rsidR="00F7303A">
        <w:rPr>
          <w:lang w:val="en-GB"/>
        </w:rPr>
        <w:t xml:space="preserve">C. As such, from a functional perspective, water at a temperature of </w:t>
      </w:r>
      <w:r w:rsidR="00F7303A">
        <w:rPr>
          <w:rFonts w:cstheme="minorHAnsi"/>
        </w:rPr>
        <w:t>45</w:t>
      </w:r>
      <w:r w:rsidR="00F7303A">
        <w:rPr>
          <w:rFonts w:cstheme="minorHAnsi"/>
          <w:lang w:val="en-GB"/>
        </w:rPr>
        <w:t>°</w:t>
      </w:r>
      <w:r w:rsidR="00F7303A">
        <w:rPr>
          <w:lang w:val="en-GB"/>
        </w:rPr>
        <w:t xml:space="preserve">C can be considered “hot”. </w:t>
      </w:r>
    </w:p>
    <w:p w14:paraId="21559E10" w14:textId="6FAA76A7" w:rsidR="00F7303A" w:rsidRPr="0068185E" w:rsidRDefault="00F7303A" w:rsidP="0068185E">
      <w:pPr>
        <w:spacing w:before="240" w:after="120"/>
        <w:jc w:val="both"/>
        <w:rPr>
          <w:lang w:val="en-GB"/>
        </w:rPr>
      </w:pPr>
      <w:r>
        <w:rPr>
          <w:lang w:val="en-GB"/>
        </w:rPr>
        <w:lastRenderedPageBreak/>
        <w:t xml:space="preserve">This is why </w:t>
      </w:r>
      <w:r>
        <w:rPr>
          <w:rFonts w:cstheme="minorHAnsi"/>
        </w:rPr>
        <w:t>45</w:t>
      </w:r>
      <w:r>
        <w:rPr>
          <w:rFonts w:cstheme="minorHAnsi"/>
          <w:lang w:val="en-GB"/>
        </w:rPr>
        <w:t>°</w:t>
      </w:r>
      <w:r>
        <w:rPr>
          <w:lang w:val="en-GB"/>
        </w:rPr>
        <w:t>C has been selected as the temperature threshold for the delivery of hot water to meet comfort requirements in both CP1 2020 and the CIBSE Guidance Note: DHW from instantaneous HIUs.</w:t>
      </w:r>
    </w:p>
    <w:p w14:paraId="04747623" w14:textId="4D617A69" w:rsidR="00A75691" w:rsidRPr="0068185E" w:rsidRDefault="003F027B"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 </w:t>
      </w:r>
      <w:r w:rsidR="00EC7694">
        <w:rPr>
          <w:rFonts w:asciiTheme="minorHAnsi" w:hAnsiTheme="minorHAnsi" w:cstheme="minorHAnsi"/>
          <w:b/>
          <w:bCs/>
          <w:sz w:val="22"/>
          <w:szCs w:val="22"/>
        </w:rPr>
        <w:t xml:space="preserve">(b) </w:t>
      </w:r>
      <w:r w:rsidR="00EC5FF5">
        <w:rPr>
          <w:rFonts w:asciiTheme="minorHAnsi" w:hAnsiTheme="minorHAnsi" w:cstheme="minorHAnsi"/>
          <w:b/>
          <w:bCs/>
          <w:sz w:val="22"/>
          <w:szCs w:val="22"/>
        </w:rPr>
        <w:t xml:space="preserve">– </w:t>
      </w:r>
      <w:r w:rsidR="00F7303A">
        <w:rPr>
          <w:rFonts w:asciiTheme="minorHAnsi" w:hAnsiTheme="minorHAnsi" w:cstheme="minorHAnsi"/>
          <w:b/>
          <w:bCs/>
          <w:sz w:val="22"/>
          <w:szCs w:val="22"/>
        </w:rPr>
        <w:t xml:space="preserve">Acceptable Time Frame for </w:t>
      </w:r>
      <w:r w:rsidR="00EC5FF5">
        <w:rPr>
          <w:rFonts w:asciiTheme="minorHAnsi" w:hAnsiTheme="minorHAnsi" w:cstheme="minorHAnsi"/>
          <w:b/>
          <w:bCs/>
          <w:sz w:val="22"/>
          <w:szCs w:val="22"/>
        </w:rPr>
        <w:t xml:space="preserve">DHW Delivery </w:t>
      </w:r>
    </w:p>
    <w:p w14:paraId="05614E3B" w14:textId="54D4D77E" w:rsidR="0068185E" w:rsidRDefault="00F7303A" w:rsidP="0068185E">
      <w:pPr>
        <w:spacing w:before="240" w:after="120"/>
        <w:jc w:val="both"/>
        <w:rPr>
          <w:lang w:val="en-GB"/>
        </w:rPr>
      </w:pPr>
      <w:r>
        <w:rPr>
          <w:lang w:val="en-GB"/>
        </w:rPr>
        <w:t xml:space="preserve">This issue has been considered both within CP1 2020 and </w:t>
      </w:r>
      <w:r w:rsidR="00B9040C">
        <w:rPr>
          <w:lang w:val="en-GB"/>
        </w:rPr>
        <w:t>the CIBSE Guidance Note: DHW from instantaneous HIUs.</w:t>
      </w:r>
    </w:p>
    <w:p w14:paraId="0C3A9D55" w14:textId="2FA1F027" w:rsidR="00B9040C" w:rsidRDefault="00B9040C" w:rsidP="0068185E">
      <w:pPr>
        <w:spacing w:before="240" w:after="120"/>
        <w:jc w:val="both"/>
        <w:rPr>
          <w:lang w:val="en-GB"/>
        </w:rPr>
      </w:pPr>
      <w:r>
        <w:rPr>
          <w:lang w:val="en-GB"/>
        </w:rPr>
        <w:t xml:space="preserve">In CP1 2020, minimum requirement 3.4.17 states that </w:t>
      </w:r>
      <w:r w:rsidRPr="007E278F">
        <w:rPr>
          <w:i/>
          <w:iCs/>
          <w:lang w:val="en-GB"/>
        </w:rPr>
        <w:t xml:space="preserve">the design of hot water systems in dwellings shall ensure that hot water is delivered to the kitchen tap to achieve a minimum of </w:t>
      </w:r>
      <w:r w:rsidRPr="007E278F">
        <w:rPr>
          <w:rFonts w:cstheme="minorHAnsi"/>
          <w:i/>
          <w:iCs/>
        </w:rPr>
        <w:t>45</w:t>
      </w:r>
      <w:r w:rsidRPr="007E278F">
        <w:rPr>
          <w:rFonts w:cstheme="minorHAnsi"/>
          <w:i/>
          <w:iCs/>
          <w:lang w:val="en-GB"/>
        </w:rPr>
        <w:t>°</w:t>
      </w:r>
      <w:r w:rsidRPr="007E278F">
        <w:rPr>
          <w:i/>
          <w:iCs/>
          <w:lang w:val="en-GB"/>
        </w:rPr>
        <w:t xml:space="preserve">C with 45 seconds of turning the </w:t>
      </w:r>
      <w:r w:rsidR="00EC7694" w:rsidRPr="00370987">
        <w:rPr>
          <w:i/>
          <w:iCs/>
          <w:lang w:val="en-GB"/>
        </w:rPr>
        <w:t>tap</w:t>
      </w:r>
      <w:r w:rsidRPr="007E278F">
        <w:rPr>
          <w:i/>
          <w:iCs/>
          <w:lang w:val="en-GB"/>
        </w:rPr>
        <w:t xml:space="preserve"> on at full flow rate.</w:t>
      </w:r>
    </w:p>
    <w:p w14:paraId="2212D0B1" w14:textId="2DC5C9C6" w:rsidR="00C075C6" w:rsidRPr="00C075C6" w:rsidRDefault="00B9040C" w:rsidP="0068185E">
      <w:pPr>
        <w:spacing w:before="240" w:after="120"/>
        <w:jc w:val="both"/>
        <w:rPr>
          <w:i/>
          <w:iCs/>
          <w:lang w:val="en-GB"/>
        </w:rPr>
      </w:pPr>
      <w:r>
        <w:rPr>
          <w:lang w:val="en-GB"/>
        </w:rPr>
        <w:t xml:space="preserve">Likewise, one of the main conclusions of the CIBSE Guidance Note: DHW from instantaneous HIUs was that </w:t>
      </w:r>
      <w:r>
        <w:rPr>
          <w:i/>
          <w:iCs/>
          <w:lang w:val="en-GB"/>
        </w:rPr>
        <w:t xml:space="preserve">DELIVERING instantaneous hot water to the kitchen tap at a minimum of </w:t>
      </w:r>
      <w:r w:rsidRPr="00B9040C">
        <w:rPr>
          <w:i/>
          <w:iCs/>
          <w:lang w:val="en-GB"/>
        </w:rPr>
        <w:t>45°C</w:t>
      </w:r>
      <w:r>
        <w:rPr>
          <w:i/>
          <w:iCs/>
          <w:lang w:val="en-GB"/>
        </w:rPr>
        <w:t xml:space="preserve"> </w:t>
      </w:r>
      <w:r w:rsidR="00EC7694">
        <w:rPr>
          <w:i/>
          <w:iCs/>
          <w:lang w:val="en-GB"/>
        </w:rPr>
        <w:t xml:space="preserve">after </w:t>
      </w:r>
      <w:r>
        <w:rPr>
          <w:i/>
          <w:iCs/>
          <w:lang w:val="en-GB"/>
        </w:rPr>
        <w:t>opening the tap to full flow demonstrates an acceptable service level for users and satisfies the requirement to limit water use.</w:t>
      </w:r>
    </w:p>
    <w:p w14:paraId="76242754" w14:textId="24E2FF4D" w:rsidR="007E278F" w:rsidRDefault="007E278F" w:rsidP="0068185E">
      <w:pPr>
        <w:spacing w:before="240" w:after="120"/>
        <w:jc w:val="both"/>
        <w:rPr>
          <w:lang w:val="en-GB"/>
        </w:rPr>
      </w:pPr>
      <w:r>
        <w:rPr>
          <w:lang w:val="en-GB"/>
        </w:rPr>
        <w:t>As such, the BESA test standard should ensure that HIU performance is in line with the requirement to deliver hot water to the kitchen tap within 45 seconds.</w:t>
      </w:r>
    </w:p>
    <w:p w14:paraId="73BF045E" w14:textId="790C3970" w:rsidR="007A5137" w:rsidRDefault="007A5137" w:rsidP="0068185E">
      <w:pPr>
        <w:spacing w:before="240" w:after="120"/>
        <w:jc w:val="both"/>
        <w:rPr>
          <w:lang w:val="en-GB"/>
        </w:rPr>
      </w:pPr>
      <w:r>
        <w:rPr>
          <w:lang w:val="en-GB"/>
        </w:rPr>
        <w:t xml:space="preserve">It should be noted that “full flow” will be restricted by </w:t>
      </w:r>
      <w:r w:rsidR="00705BAF">
        <w:rPr>
          <w:lang w:val="en-GB"/>
        </w:rPr>
        <w:t xml:space="preserve">Part G of the water regulations, with </w:t>
      </w:r>
      <w:r w:rsidR="00F00282">
        <w:rPr>
          <w:lang w:val="en-GB"/>
        </w:rPr>
        <w:t xml:space="preserve">an overall restriction on water usage, </w:t>
      </w:r>
      <w:r w:rsidR="00127A4E">
        <w:rPr>
          <w:lang w:val="en-GB"/>
        </w:rPr>
        <w:t xml:space="preserve">using a water efficiency calculator. </w:t>
      </w:r>
      <w:r w:rsidR="00291E90">
        <w:rPr>
          <w:lang w:val="en-GB"/>
        </w:rPr>
        <w:t>While flow rates will vary from appliance to appliance, dependent on</w:t>
      </w:r>
      <w:r w:rsidR="003C5E3F">
        <w:rPr>
          <w:lang w:val="en-GB"/>
        </w:rPr>
        <w:t xml:space="preserve"> approach and whether </w:t>
      </w:r>
      <w:r w:rsidR="000C1CF1">
        <w:rPr>
          <w:lang w:val="en-GB"/>
        </w:rPr>
        <w:t>Optional requirements apply</w:t>
      </w:r>
      <w:r w:rsidR="00291E90">
        <w:rPr>
          <w:lang w:val="en-GB"/>
        </w:rPr>
        <w:t xml:space="preserve">, a kitchen tap flow rate of 6 l/min </w:t>
      </w:r>
      <w:r w:rsidR="002D0C65">
        <w:rPr>
          <w:lang w:val="en-GB"/>
        </w:rPr>
        <w:t>has become</w:t>
      </w:r>
      <w:r w:rsidR="00291E90">
        <w:rPr>
          <w:lang w:val="en-GB"/>
        </w:rPr>
        <w:t xml:space="preserve"> standard across </w:t>
      </w:r>
      <w:r w:rsidR="002D0C65">
        <w:rPr>
          <w:lang w:val="en-GB"/>
        </w:rPr>
        <w:t>many new build</w:t>
      </w:r>
      <w:r w:rsidR="00291E90">
        <w:rPr>
          <w:lang w:val="en-GB"/>
        </w:rPr>
        <w:t xml:space="preserve"> developers</w:t>
      </w:r>
      <w:r w:rsidR="002F54C3">
        <w:rPr>
          <w:lang w:val="en-GB"/>
        </w:rPr>
        <w:t xml:space="preserve">, in line with </w:t>
      </w:r>
      <w:r w:rsidR="0085735C">
        <w:rPr>
          <w:lang w:val="en-GB"/>
        </w:rPr>
        <w:t xml:space="preserve">the </w:t>
      </w:r>
      <w:r w:rsidR="003C5E3F">
        <w:rPr>
          <w:lang w:val="en-GB"/>
        </w:rPr>
        <w:t xml:space="preserve">fittings approach under the Optional </w:t>
      </w:r>
      <w:r w:rsidR="000C1CF1">
        <w:rPr>
          <w:lang w:val="en-GB"/>
        </w:rPr>
        <w:t>r</w:t>
      </w:r>
      <w:r w:rsidR="003C5E3F">
        <w:rPr>
          <w:lang w:val="en-GB"/>
        </w:rPr>
        <w:t>equirements</w:t>
      </w:r>
      <w:r w:rsidR="0011479D">
        <w:rPr>
          <w:lang w:val="en-GB"/>
        </w:rPr>
        <w:t>.</w:t>
      </w:r>
    </w:p>
    <w:p w14:paraId="5D5BC123" w14:textId="17DA8A66" w:rsidR="007E278F" w:rsidRPr="0068185E" w:rsidRDefault="007E278F" w:rsidP="007E278F">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 </w:t>
      </w:r>
      <w:r w:rsidR="00370987">
        <w:rPr>
          <w:rFonts w:asciiTheme="minorHAnsi" w:hAnsiTheme="minorHAnsi" w:cstheme="minorHAnsi"/>
          <w:b/>
          <w:bCs/>
          <w:sz w:val="22"/>
          <w:szCs w:val="22"/>
        </w:rPr>
        <w:t xml:space="preserve">(c) </w:t>
      </w:r>
      <w:r>
        <w:rPr>
          <w:rFonts w:asciiTheme="minorHAnsi" w:hAnsiTheme="minorHAnsi" w:cstheme="minorHAnsi"/>
          <w:b/>
          <w:bCs/>
          <w:sz w:val="22"/>
          <w:szCs w:val="22"/>
        </w:rPr>
        <w:t xml:space="preserve">– Acceptable time to </w:t>
      </w:r>
      <w:r w:rsidRPr="007E278F">
        <w:rPr>
          <w:rFonts w:asciiTheme="minorHAnsi" w:hAnsiTheme="minorHAnsi" w:cstheme="minorHAnsi"/>
          <w:b/>
          <w:bCs/>
          <w:i/>
          <w:iCs/>
          <w:sz w:val="22"/>
          <w:szCs w:val="22"/>
        </w:rPr>
        <w:t>generate</w:t>
      </w:r>
      <w:r>
        <w:rPr>
          <w:rFonts w:asciiTheme="minorHAnsi" w:hAnsiTheme="minorHAnsi" w:cstheme="minorHAnsi"/>
          <w:b/>
          <w:bCs/>
          <w:sz w:val="22"/>
          <w:szCs w:val="22"/>
        </w:rPr>
        <w:t xml:space="preserve"> hot DHW to enable delivery within 45 seconds</w:t>
      </w:r>
    </w:p>
    <w:p w14:paraId="44D01969" w14:textId="7C8FE9B0" w:rsidR="00D67A90" w:rsidRDefault="003C3D4A" w:rsidP="0068185E">
      <w:pPr>
        <w:spacing w:before="240" w:after="120"/>
        <w:jc w:val="both"/>
        <w:rPr>
          <w:lang w:val="en-GB"/>
        </w:rPr>
      </w:pPr>
      <w:r>
        <w:rPr>
          <w:lang w:val="en-GB"/>
        </w:rPr>
        <w:t xml:space="preserve">The length of time to deliver DHW to an outlet is difficult to model. While </w:t>
      </w:r>
      <w:r w:rsidR="00D67A90">
        <w:rPr>
          <w:lang w:val="en-GB"/>
        </w:rPr>
        <w:t>it is straight forward to model the time taken to clear pipework of cold volume, there is a significant cool down effect of pipework, which increases delivery time.</w:t>
      </w:r>
    </w:p>
    <w:p w14:paraId="141EF041" w14:textId="53990E9B" w:rsidR="007E278F" w:rsidRDefault="00D67A90" w:rsidP="00D67A90">
      <w:pPr>
        <w:spacing w:before="240" w:after="120"/>
        <w:rPr>
          <w:lang w:val="en-GB"/>
        </w:rPr>
      </w:pPr>
      <w:r>
        <w:rPr>
          <w:lang w:val="en-GB"/>
        </w:rPr>
        <w:t>To model this, FairHeat carried out significant in situ testing of delivery times with different lengths and diameters of</w:t>
      </w:r>
      <w:r w:rsidR="00092AF5">
        <w:rPr>
          <w:lang w:val="en-GB"/>
        </w:rPr>
        <w:t xml:space="preserve"> MCLP</w:t>
      </w:r>
      <w:r>
        <w:rPr>
          <w:lang w:val="en-GB"/>
        </w:rPr>
        <w:t xml:space="preserve"> pipework. The figure below illustrates the impact of the cool down effect on a long run of pipework – in </w:t>
      </w:r>
      <w:r w:rsidRPr="00506E05">
        <w:rPr>
          <w:lang w:val="en-GB"/>
        </w:rPr>
        <w:t xml:space="preserve">this case 25 meters of </w:t>
      </w:r>
      <w:r w:rsidR="00506E05">
        <w:rPr>
          <w:lang w:val="en-GB"/>
        </w:rPr>
        <w:t xml:space="preserve">MCLP </w:t>
      </w:r>
      <w:r w:rsidRPr="00506E05">
        <w:rPr>
          <w:lang w:val="en-GB"/>
        </w:rPr>
        <w:t>14.2mm ID pipework at 6 l/min flow rate.</w:t>
      </w:r>
      <w:r>
        <w:rPr>
          <w:lang w:val="en-GB"/>
        </w:rPr>
        <w:t xml:space="preserve"> </w:t>
      </w:r>
      <w:r w:rsidRPr="00D67A90">
        <w:rPr>
          <w:noProof/>
          <w:lang w:val="en-GB"/>
        </w:rPr>
        <w:drawing>
          <wp:inline distT="0" distB="0" distL="0" distR="0" wp14:anchorId="2E541A51" wp14:editId="3DC14830">
            <wp:extent cx="5926455" cy="2235200"/>
            <wp:effectExtent l="0" t="0" r="0" b="0"/>
            <wp:docPr id="4" name="Picture 4"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pic:cNvPicPr/>
                  </pic:nvPicPr>
                  <pic:blipFill>
                    <a:blip r:embed="rId11"/>
                    <a:stretch>
                      <a:fillRect/>
                    </a:stretch>
                  </pic:blipFill>
                  <pic:spPr>
                    <a:xfrm>
                      <a:off x="0" y="0"/>
                      <a:ext cx="5926455" cy="2235200"/>
                    </a:xfrm>
                    <a:prstGeom prst="rect">
                      <a:avLst/>
                    </a:prstGeom>
                  </pic:spPr>
                </pic:pic>
              </a:graphicData>
            </a:graphic>
          </wp:inline>
        </w:drawing>
      </w:r>
    </w:p>
    <w:p w14:paraId="29FD4292" w14:textId="3A753FF2" w:rsidR="00220E70" w:rsidRDefault="00431D60" w:rsidP="0068185E">
      <w:pPr>
        <w:spacing w:before="240" w:after="120"/>
        <w:jc w:val="both"/>
        <w:rPr>
          <w:lang w:val="en-GB"/>
        </w:rPr>
      </w:pPr>
      <w:r>
        <w:rPr>
          <w:lang w:val="en-GB"/>
        </w:rPr>
        <w:lastRenderedPageBreak/>
        <w:t xml:space="preserve">In this case the time for the HIU to </w:t>
      </w:r>
      <w:r w:rsidRPr="00431D60">
        <w:rPr>
          <w:i/>
          <w:iCs/>
          <w:lang w:val="en-GB"/>
        </w:rPr>
        <w:t>generate</w:t>
      </w:r>
      <w:r>
        <w:rPr>
          <w:lang w:val="en-GB"/>
        </w:rPr>
        <w:t xml:space="preserve"> hot water was 10 seconds. Shortening this would not have had a material impact. </w:t>
      </w:r>
    </w:p>
    <w:p w14:paraId="3C42E1CE" w14:textId="0F30264F" w:rsidR="00E7342B" w:rsidRDefault="00431D60" w:rsidP="0068185E">
      <w:pPr>
        <w:spacing w:before="240" w:after="120"/>
        <w:jc w:val="both"/>
        <w:rPr>
          <w:lang w:val="en-GB"/>
        </w:rPr>
      </w:pPr>
      <w:r>
        <w:rPr>
          <w:lang w:val="en-GB"/>
        </w:rPr>
        <w:t xml:space="preserve">The issue is that there is a significant interaction between the diameter of the pipework and delivery time. If we were to assume a standard approach </w:t>
      </w:r>
      <w:r w:rsidRPr="00F46DEA">
        <w:rPr>
          <w:lang w:val="en-GB"/>
        </w:rPr>
        <w:t>using 14.2mm ID pipework,</w:t>
      </w:r>
      <w:r>
        <w:rPr>
          <w:lang w:val="en-GB"/>
        </w:rPr>
        <w:t xml:space="preserve"> with a 6 l/min flow rate</w:t>
      </w:r>
      <w:r w:rsidR="00E7342B">
        <w:rPr>
          <w:lang w:val="en-GB"/>
        </w:rPr>
        <w:t xml:space="preserve"> (as shown below)</w:t>
      </w:r>
      <w:r>
        <w:rPr>
          <w:lang w:val="en-GB"/>
        </w:rPr>
        <w:t>, then with a 10 second generation time for the HIU (in this case in practice), this would suggest a maximum len</w:t>
      </w:r>
      <w:r w:rsidR="00E7342B">
        <w:rPr>
          <w:lang w:val="en-GB"/>
        </w:rPr>
        <w:t>g</w:t>
      </w:r>
      <w:r>
        <w:rPr>
          <w:lang w:val="en-GB"/>
        </w:rPr>
        <w:t xml:space="preserve">th of </w:t>
      </w:r>
      <w:r w:rsidR="00E7342B">
        <w:rPr>
          <w:lang w:val="en-GB"/>
        </w:rPr>
        <w:t xml:space="preserve">pipework of </w:t>
      </w:r>
      <w:r>
        <w:rPr>
          <w:lang w:val="en-GB"/>
        </w:rPr>
        <w:t>&lt;15m</w:t>
      </w:r>
      <w:r w:rsidR="00E7342B">
        <w:rPr>
          <w:lang w:val="en-GB"/>
        </w:rPr>
        <w:t xml:space="preserve">. Lengths in excess of 15m are seen relatively </w:t>
      </w:r>
      <w:r w:rsidR="00E7342B" w:rsidRPr="00506E05">
        <w:rPr>
          <w:lang w:val="en-GB"/>
        </w:rPr>
        <w:t>frequently in modern builds. This would tend to suggest that 10 seconds would be the maximum time for generation.</w:t>
      </w:r>
    </w:p>
    <w:p w14:paraId="1ED8FE67" w14:textId="42864AC8" w:rsidR="00E7342B" w:rsidRPr="00E7342B" w:rsidRDefault="00506E05" w:rsidP="0068185E">
      <w:pPr>
        <w:spacing w:before="240" w:after="120"/>
        <w:jc w:val="both"/>
        <w:rPr>
          <w:u w:val="single"/>
          <w:lang w:val="en-GB"/>
        </w:rPr>
      </w:pPr>
      <w:r>
        <w:rPr>
          <w:u w:val="single"/>
          <w:lang w:val="en-GB"/>
        </w:rPr>
        <w:t xml:space="preserve">Temperature over time for different lengths of MCLP </w:t>
      </w:r>
      <w:r w:rsidR="00E7342B" w:rsidRPr="00E7342B">
        <w:rPr>
          <w:u w:val="single"/>
          <w:lang w:val="en-GB"/>
        </w:rPr>
        <w:t>14.2mm</w:t>
      </w:r>
      <w:r w:rsidR="00903705">
        <w:rPr>
          <w:u w:val="single"/>
          <w:lang w:val="en-GB"/>
        </w:rPr>
        <w:t xml:space="preserve"> I.D.</w:t>
      </w:r>
      <w:r>
        <w:rPr>
          <w:u w:val="single"/>
          <w:lang w:val="en-GB"/>
        </w:rPr>
        <w:t xml:space="preserve"> at</w:t>
      </w:r>
      <w:r w:rsidR="00E7342B" w:rsidRPr="00E7342B">
        <w:rPr>
          <w:u w:val="single"/>
          <w:lang w:val="en-GB"/>
        </w:rPr>
        <w:t xml:space="preserve"> 6 l/min</w:t>
      </w:r>
      <w:r>
        <w:rPr>
          <w:u w:val="single"/>
          <w:lang w:val="en-GB"/>
        </w:rPr>
        <w:t xml:space="preserve"> flow rate</w:t>
      </w:r>
    </w:p>
    <w:p w14:paraId="3F245D8C" w14:textId="144302FB" w:rsidR="00431D60" w:rsidRDefault="00431D60" w:rsidP="0068185E">
      <w:pPr>
        <w:spacing w:before="240" w:after="120"/>
        <w:jc w:val="both"/>
        <w:rPr>
          <w:lang w:val="en-GB"/>
        </w:rPr>
      </w:pPr>
      <w:r w:rsidRPr="00431D60">
        <w:rPr>
          <w:noProof/>
          <w:lang w:val="en-GB"/>
        </w:rPr>
        <w:drawing>
          <wp:inline distT="0" distB="0" distL="0" distR="0" wp14:anchorId="3E3F5BEA" wp14:editId="69D62675">
            <wp:extent cx="4677428" cy="3600953"/>
            <wp:effectExtent l="0" t="0" r="0" b="508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pic:nvPicPr>
                  <pic:blipFill>
                    <a:blip r:embed="rId12"/>
                    <a:stretch>
                      <a:fillRect/>
                    </a:stretch>
                  </pic:blipFill>
                  <pic:spPr>
                    <a:xfrm>
                      <a:off x="0" y="0"/>
                      <a:ext cx="4677428" cy="3600953"/>
                    </a:xfrm>
                    <a:prstGeom prst="rect">
                      <a:avLst/>
                    </a:prstGeom>
                  </pic:spPr>
                </pic:pic>
              </a:graphicData>
            </a:graphic>
          </wp:inline>
        </w:drawing>
      </w:r>
    </w:p>
    <w:p w14:paraId="59C29231" w14:textId="2270AE41" w:rsidR="00220E70" w:rsidRDefault="00E7342B" w:rsidP="0068185E">
      <w:pPr>
        <w:spacing w:before="240" w:after="120"/>
        <w:jc w:val="both"/>
        <w:rPr>
          <w:lang w:val="en-GB"/>
        </w:rPr>
      </w:pPr>
      <w:r>
        <w:rPr>
          <w:lang w:val="en-GB"/>
        </w:rPr>
        <w:t xml:space="preserve">Conversely, if we assume that there will be a change in approach, with a shift to manifold systems and a reduction in DHW pipe diameters, then </w:t>
      </w:r>
      <w:r w:rsidR="00903705">
        <w:rPr>
          <w:lang w:val="en-GB"/>
        </w:rPr>
        <w:t xml:space="preserve">HIU generation times could be longer. The figure below shows DHW delivery temperature vs time, given an </w:t>
      </w:r>
      <w:r w:rsidR="00903705" w:rsidRPr="008D05E4">
        <w:rPr>
          <w:lang w:val="en-GB"/>
        </w:rPr>
        <w:t>8.8mm I.D. pipe,</w:t>
      </w:r>
      <w:r w:rsidR="00903705">
        <w:rPr>
          <w:lang w:val="en-GB"/>
        </w:rPr>
        <w:t xml:space="preserve"> from a manifold, at 6 l/min, given a 10 second HIU generation time. As can be seen, the DHW was able to be delivered in c.37 seconds with a 25-meter pipe length. Which is toward the upper length that could be expected to be seen in a modern dwelling. As such, given a 15 second generation period, DHW would </w:t>
      </w:r>
      <w:r w:rsidR="00421806">
        <w:rPr>
          <w:lang w:val="en-GB"/>
        </w:rPr>
        <w:t>still be able to be delivered within 45 seconds.</w:t>
      </w:r>
    </w:p>
    <w:p w14:paraId="76A1256A" w14:textId="62419995" w:rsidR="00421806" w:rsidRDefault="00421806" w:rsidP="0068185E">
      <w:pPr>
        <w:spacing w:before="240" w:after="120"/>
        <w:jc w:val="both"/>
        <w:rPr>
          <w:lang w:val="en-GB"/>
        </w:rPr>
      </w:pPr>
      <w:r>
        <w:rPr>
          <w:lang w:val="en-GB"/>
        </w:rPr>
        <w:t>As a side note: there was no audible different of noise between pipe diameters or pipe lengths during tests.</w:t>
      </w:r>
    </w:p>
    <w:tbl>
      <w:tblPr>
        <w:tblStyle w:val="TableGrid"/>
        <w:tblW w:w="0" w:type="auto"/>
        <w:tblLook w:val="04A0" w:firstRow="1" w:lastRow="0" w:firstColumn="1" w:lastColumn="0" w:noHBand="0" w:noVBand="1"/>
      </w:tblPr>
      <w:tblGrid>
        <w:gridCol w:w="9323"/>
      </w:tblGrid>
      <w:tr w:rsidR="00421806" w14:paraId="244AD23A" w14:textId="77777777" w:rsidTr="00421806">
        <w:trPr>
          <w:cantSplit/>
        </w:trPr>
        <w:tc>
          <w:tcPr>
            <w:tcW w:w="9323" w:type="dxa"/>
            <w:tcBorders>
              <w:top w:val="nil"/>
              <w:left w:val="nil"/>
              <w:bottom w:val="nil"/>
              <w:right w:val="nil"/>
            </w:tcBorders>
          </w:tcPr>
          <w:p w14:paraId="73AA626C" w14:textId="2379E119" w:rsidR="00421806" w:rsidRDefault="00FA2D2D" w:rsidP="00E7342B">
            <w:pPr>
              <w:spacing w:before="240" w:after="120"/>
              <w:jc w:val="both"/>
              <w:rPr>
                <w:u w:val="single"/>
                <w:lang w:val="en-GB"/>
              </w:rPr>
            </w:pPr>
            <w:r>
              <w:rPr>
                <w:u w:val="single"/>
                <w:lang w:val="en-GB"/>
              </w:rPr>
              <w:lastRenderedPageBreak/>
              <w:t xml:space="preserve">Temperature over time for different lengths of MCLP </w:t>
            </w:r>
            <w:r w:rsidR="00421806">
              <w:rPr>
                <w:u w:val="single"/>
                <w:lang w:val="en-GB"/>
              </w:rPr>
              <w:t>8.8</w:t>
            </w:r>
            <w:r w:rsidR="00421806" w:rsidRPr="00E7342B">
              <w:rPr>
                <w:u w:val="single"/>
                <w:lang w:val="en-GB"/>
              </w:rPr>
              <w:t>mm</w:t>
            </w:r>
            <w:r w:rsidR="00421806">
              <w:rPr>
                <w:u w:val="single"/>
                <w:lang w:val="en-GB"/>
              </w:rPr>
              <w:t xml:space="preserve"> I.D.</w:t>
            </w:r>
            <w:r>
              <w:rPr>
                <w:u w:val="single"/>
                <w:lang w:val="en-GB"/>
              </w:rPr>
              <w:t xml:space="preserve"> pipework at </w:t>
            </w:r>
            <w:r w:rsidR="00421806" w:rsidRPr="00E7342B">
              <w:rPr>
                <w:u w:val="single"/>
                <w:lang w:val="en-GB"/>
              </w:rPr>
              <w:t>6 l/min</w:t>
            </w:r>
            <w:r>
              <w:rPr>
                <w:u w:val="single"/>
                <w:lang w:val="en-GB"/>
              </w:rPr>
              <w:t xml:space="preserve"> flow rate</w:t>
            </w:r>
          </w:p>
          <w:p w14:paraId="1CAC97DE" w14:textId="1EA4B8DA" w:rsidR="00421806" w:rsidRDefault="00421806" w:rsidP="00E7342B">
            <w:pPr>
              <w:spacing w:before="240" w:after="120"/>
              <w:jc w:val="both"/>
              <w:rPr>
                <w:u w:val="single"/>
                <w:lang w:val="en-GB"/>
              </w:rPr>
            </w:pPr>
            <w:r w:rsidRPr="00E7342B">
              <w:rPr>
                <w:noProof/>
                <w:lang w:val="en-GB"/>
              </w:rPr>
              <w:drawing>
                <wp:inline distT="0" distB="0" distL="0" distR="0" wp14:anchorId="78890197" wp14:editId="30544CDA">
                  <wp:extent cx="4772691" cy="3648584"/>
                  <wp:effectExtent l="0" t="0" r="8890" b="9525"/>
                  <wp:docPr id="7" name="Picture 7"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line chart&#10;&#10;Description automatically generated"/>
                          <pic:cNvPicPr/>
                        </pic:nvPicPr>
                        <pic:blipFill>
                          <a:blip r:embed="rId13"/>
                          <a:stretch>
                            <a:fillRect/>
                          </a:stretch>
                        </pic:blipFill>
                        <pic:spPr>
                          <a:xfrm>
                            <a:off x="0" y="0"/>
                            <a:ext cx="4772691" cy="3648584"/>
                          </a:xfrm>
                          <a:prstGeom prst="rect">
                            <a:avLst/>
                          </a:prstGeom>
                        </pic:spPr>
                      </pic:pic>
                    </a:graphicData>
                  </a:graphic>
                </wp:inline>
              </w:drawing>
            </w:r>
          </w:p>
        </w:tc>
      </w:tr>
    </w:tbl>
    <w:p w14:paraId="2BEE8CA6" w14:textId="5D7DCADA" w:rsidR="00E7342B" w:rsidRDefault="00421806" w:rsidP="0068185E">
      <w:pPr>
        <w:spacing w:before="240" w:after="120"/>
        <w:jc w:val="both"/>
        <w:rPr>
          <w:lang w:val="en-GB"/>
        </w:rPr>
      </w:pPr>
      <w:r>
        <w:rPr>
          <w:lang w:val="en-GB"/>
        </w:rPr>
        <w:t xml:space="preserve">In summary, theoretical calculations of the time taken to deliver DHW are difficult. However, if a ‘standard’ approach to pipe sizing for DHW is maintained, then consideration should be made for reducing HIU DHW generation time requirements, as it will be difficult to respect the </w:t>
      </w:r>
      <w:r w:rsidR="00C43D1A" w:rsidRPr="00C43D1A">
        <w:rPr>
          <w:lang w:val="en-GB"/>
        </w:rPr>
        <w:t>45°C with 45 seconds</w:t>
      </w:r>
      <w:r w:rsidR="00C43D1A">
        <w:rPr>
          <w:lang w:val="en-GB"/>
        </w:rPr>
        <w:t xml:space="preserve"> requirement in many instances were generation times to be 15 seconds.</w:t>
      </w:r>
    </w:p>
    <w:p w14:paraId="6EC3049F" w14:textId="26AF3FB7" w:rsidR="00E7342B" w:rsidRDefault="00C43D1A" w:rsidP="0068185E">
      <w:pPr>
        <w:spacing w:before="240" w:after="120"/>
        <w:jc w:val="both"/>
        <w:rPr>
          <w:lang w:val="en-GB"/>
        </w:rPr>
      </w:pPr>
      <w:r>
        <w:rPr>
          <w:lang w:val="en-GB"/>
        </w:rPr>
        <w:t>However, if a revised approach is taken, with smaller pipework, then generation of hot water within 15 seconds from the HIU should still enable acceptable service levels.</w:t>
      </w:r>
    </w:p>
    <w:p w14:paraId="6570687F" w14:textId="35939332" w:rsidR="00E7342B" w:rsidRDefault="00C43D1A" w:rsidP="0068185E">
      <w:pPr>
        <w:spacing w:before="240" w:after="120"/>
        <w:jc w:val="both"/>
        <w:rPr>
          <w:lang w:val="en-GB"/>
        </w:rPr>
      </w:pPr>
      <w:r>
        <w:rPr>
          <w:lang w:val="en-GB"/>
        </w:rPr>
        <w:t xml:space="preserve">As a general point, the lower the generation time the better with respect to service levels. </w:t>
      </w:r>
    </w:p>
    <w:p w14:paraId="040788FE" w14:textId="1A22EF0C" w:rsidR="007E278F" w:rsidRPr="0068185E" w:rsidRDefault="007E278F" w:rsidP="007E278F">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 </w:t>
      </w:r>
      <w:r w:rsidR="00220E70">
        <w:rPr>
          <w:rFonts w:asciiTheme="minorHAnsi" w:hAnsiTheme="minorHAnsi" w:cstheme="minorHAnsi"/>
          <w:b/>
          <w:bCs/>
          <w:sz w:val="22"/>
          <w:szCs w:val="22"/>
        </w:rPr>
        <w:t>4</w:t>
      </w:r>
      <w:r>
        <w:rPr>
          <w:rFonts w:asciiTheme="minorHAnsi" w:hAnsiTheme="minorHAnsi" w:cstheme="minorHAnsi"/>
          <w:b/>
          <w:bCs/>
          <w:sz w:val="22"/>
          <w:szCs w:val="22"/>
        </w:rPr>
        <w:t xml:space="preserve"> – </w:t>
      </w:r>
      <w:r w:rsidR="00220E70">
        <w:rPr>
          <w:rFonts w:asciiTheme="minorHAnsi" w:hAnsiTheme="minorHAnsi" w:cstheme="minorHAnsi"/>
          <w:b/>
          <w:bCs/>
          <w:sz w:val="22"/>
          <w:szCs w:val="22"/>
        </w:rPr>
        <w:t xml:space="preserve">Time taken for HIUs to generate DHW at </w:t>
      </w:r>
      <w:r w:rsidR="00220E70" w:rsidRPr="00220E70">
        <w:rPr>
          <w:rFonts w:asciiTheme="minorHAnsi" w:hAnsiTheme="minorHAnsi" w:cstheme="minorHAnsi"/>
          <w:b/>
          <w:bCs/>
          <w:sz w:val="22"/>
          <w:szCs w:val="22"/>
        </w:rPr>
        <w:t>45°C</w:t>
      </w:r>
    </w:p>
    <w:p w14:paraId="4D5C70B8" w14:textId="3185DC8C" w:rsidR="00CD64BA" w:rsidRDefault="00AE116D" w:rsidP="007E278F">
      <w:pPr>
        <w:spacing w:before="240" w:after="120"/>
        <w:jc w:val="both"/>
        <w:rPr>
          <w:lang w:val="en-GB"/>
        </w:rPr>
      </w:pPr>
      <w:r>
        <w:rPr>
          <w:lang w:val="en-GB"/>
        </w:rPr>
        <w:t xml:space="preserve">The final consideration is </w:t>
      </w:r>
      <w:r w:rsidR="00CD64BA">
        <w:rPr>
          <w:lang w:val="en-GB"/>
        </w:rPr>
        <w:t>the ability of HIUs on the market to generate DHW faster than 15 seconds.</w:t>
      </w:r>
    </w:p>
    <w:p w14:paraId="2EA2360A" w14:textId="38E89A7E" w:rsidR="00CD64BA" w:rsidRDefault="00CD64BA" w:rsidP="007E278F">
      <w:pPr>
        <w:spacing w:before="240" w:after="120"/>
        <w:jc w:val="both"/>
        <w:rPr>
          <w:lang w:val="en-GB"/>
        </w:rPr>
      </w:pPr>
      <w:r>
        <w:rPr>
          <w:lang w:val="en-GB"/>
        </w:rPr>
        <w:t>When considering those HIUs tested against the low temperature regime, the average response time was 11.3 seconds. However, the mode was 15 seconds, with 16 HIUs in the 11-15 second bracket, as shown in the histogram below.</w:t>
      </w:r>
    </w:p>
    <w:p w14:paraId="76BE0702" w14:textId="60DFF50C" w:rsidR="00CD64BA" w:rsidRDefault="00CD64BA" w:rsidP="007E278F">
      <w:pPr>
        <w:spacing w:before="240" w:after="120"/>
        <w:jc w:val="both"/>
        <w:rPr>
          <w:lang w:val="en-GB"/>
        </w:rPr>
      </w:pPr>
      <w:r>
        <w:rPr>
          <w:noProof/>
        </w:rPr>
        <w:lastRenderedPageBreak/>
        <w:drawing>
          <wp:inline distT="0" distB="0" distL="0" distR="0" wp14:anchorId="4B238B16" wp14:editId="0AC8B37D">
            <wp:extent cx="4572000" cy="2743200"/>
            <wp:effectExtent l="0" t="0" r="0" b="0"/>
            <wp:docPr id="8" name="Chart 8">
              <a:extLst xmlns:a="http://schemas.openxmlformats.org/drawingml/2006/main">
                <a:ext uri="{FF2B5EF4-FFF2-40B4-BE49-F238E27FC236}">
                  <a16:creationId xmlns:a16="http://schemas.microsoft.com/office/drawing/2014/main" id="{FCE7723E-764E-407A-A9FD-4C2FC9938C4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C6D3A10" w14:textId="080F537C" w:rsidR="007E278F" w:rsidRDefault="00CD64BA" w:rsidP="0068185E">
      <w:pPr>
        <w:spacing w:before="240" w:after="120"/>
        <w:jc w:val="both"/>
        <w:rPr>
          <w:lang w:val="en-GB"/>
        </w:rPr>
      </w:pPr>
      <w:r>
        <w:rPr>
          <w:lang w:val="en-GB"/>
        </w:rPr>
        <w:t>For the High Temperature regime response times were slightly better, with an average response time of 10.3 seconds, and the majority of HIUs generating 45</w:t>
      </w:r>
      <w:r w:rsidRPr="00C43D1A">
        <w:rPr>
          <w:lang w:val="en-GB"/>
        </w:rPr>
        <w:t>°C</w:t>
      </w:r>
      <w:r>
        <w:rPr>
          <w:lang w:val="en-GB"/>
        </w:rPr>
        <w:t xml:space="preserve"> hot water in </w:t>
      </w:r>
      <w:r w:rsidR="00FB6C43">
        <w:rPr>
          <w:lang w:val="en-GB"/>
        </w:rPr>
        <w:t>10 seconds or below.</w:t>
      </w:r>
    </w:p>
    <w:p w14:paraId="12901DC7" w14:textId="1803C1FF" w:rsidR="00FB6C43" w:rsidRDefault="00FB6C43" w:rsidP="0068185E">
      <w:pPr>
        <w:spacing w:before="240" w:after="120"/>
        <w:jc w:val="both"/>
        <w:rPr>
          <w:lang w:val="en-GB"/>
        </w:rPr>
      </w:pPr>
      <w:r>
        <w:rPr>
          <w:noProof/>
        </w:rPr>
        <w:drawing>
          <wp:inline distT="0" distB="0" distL="0" distR="0" wp14:anchorId="030BD9EF" wp14:editId="63361E1D">
            <wp:extent cx="4572000" cy="2743200"/>
            <wp:effectExtent l="0" t="0" r="0" b="0"/>
            <wp:docPr id="9" name="Chart 9">
              <a:extLst xmlns:a="http://schemas.openxmlformats.org/drawingml/2006/main">
                <a:ext uri="{FF2B5EF4-FFF2-40B4-BE49-F238E27FC236}">
                  <a16:creationId xmlns:a16="http://schemas.microsoft.com/office/drawing/2014/main" id="{BD67DAC9-50FC-4EF6-AAEA-CFE35E5DFD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E04C86E" w14:textId="396FAB05" w:rsidR="00CD64BA" w:rsidRDefault="00FB6C43" w:rsidP="0068185E">
      <w:pPr>
        <w:spacing w:before="240" w:after="120"/>
        <w:jc w:val="both"/>
        <w:rPr>
          <w:lang w:val="en-GB"/>
        </w:rPr>
      </w:pPr>
      <w:r>
        <w:rPr>
          <w:lang w:val="en-GB"/>
        </w:rPr>
        <w:t>Given the number of HIUs with high generation times (i.e. 15 seconds) under the Low Temperature regime, a question is whether manufacturers are trying to minimise their Keep Warm return temperatures at the expense of longer generation times, particularly as these are all electronic HIUs.</w:t>
      </w:r>
    </w:p>
    <w:p w14:paraId="24CB0141" w14:textId="15E29FDB" w:rsidR="00FB6C43" w:rsidRDefault="00FB6C43" w:rsidP="0068185E">
      <w:pPr>
        <w:spacing w:before="240" w:after="120"/>
        <w:jc w:val="both"/>
        <w:rPr>
          <w:lang w:val="en-GB"/>
        </w:rPr>
      </w:pPr>
      <w:r>
        <w:rPr>
          <w:lang w:val="en-GB"/>
        </w:rPr>
        <w:t xml:space="preserve">However, when plotting Keep Warm </w:t>
      </w:r>
      <w:r w:rsidRPr="00506E05">
        <w:rPr>
          <w:lang w:val="en-GB"/>
        </w:rPr>
        <w:t>VWART vs DHW return times, there was no clear trend in the data to suggest that this was the case.</w:t>
      </w:r>
      <w:r>
        <w:rPr>
          <w:lang w:val="en-GB"/>
        </w:rPr>
        <w:t xml:space="preserve"> </w:t>
      </w:r>
    </w:p>
    <w:p w14:paraId="2A4E4668" w14:textId="4705C8F1" w:rsidR="00FB6C43" w:rsidRDefault="00FB6C43" w:rsidP="0068185E">
      <w:pPr>
        <w:spacing w:before="240" w:after="120"/>
        <w:jc w:val="both"/>
        <w:rPr>
          <w:lang w:val="en-GB"/>
        </w:rPr>
      </w:pPr>
      <w:r>
        <w:rPr>
          <w:noProof/>
        </w:rPr>
        <w:lastRenderedPageBreak/>
        <w:drawing>
          <wp:inline distT="0" distB="0" distL="0" distR="0" wp14:anchorId="6CFB039D" wp14:editId="0AE5564B">
            <wp:extent cx="4595813" cy="3271838"/>
            <wp:effectExtent l="0" t="0" r="14605" b="5080"/>
            <wp:docPr id="10" name="Chart 10">
              <a:extLst xmlns:a="http://schemas.openxmlformats.org/drawingml/2006/main">
                <a:ext uri="{FF2B5EF4-FFF2-40B4-BE49-F238E27FC236}">
                  <a16:creationId xmlns:a16="http://schemas.microsoft.com/office/drawing/2014/main" id="{C2C5BB8A-DCDE-4B79-B858-2E5C910E54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B1E7986" w14:textId="48D12CF7" w:rsidR="007E278F" w:rsidRPr="007E278F" w:rsidRDefault="00FB6C43" w:rsidP="0068185E">
      <w:pPr>
        <w:spacing w:before="240" w:after="120"/>
        <w:jc w:val="both"/>
        <w:rPr>
          <w:lang w:val="en-GB"/>
        </w:rPr>
      </w:pPr>
      <w:r>
        <w:rPr>
          <w:lang w:val="en-GB"/>
        </w:rPr>
        <w:t xml:space="preserve">As such, there would be some concern that </w:t>
      </w:r>
      <w:r w:rsidR="006C2780">
        <w:rPr>
          <w:lang w:val="en-GB"/>
        </w:rPr>
        <w:t>some of the</w:t>
      </w:r>
      <w:r>
        <w:rPr>
          <w:lang w:val="en-GB"/>
        </w:rPr>
        <w:t xml:space="preserve"> HIUs on the market would struggle to achieve a </w:t>
      </w:r>
      <w:r w:rsidR="006C2780">
        <w:rPr>
          <w:lang w:val="en-GB"/>
        </w:rPr>
        <w:t>more rapid DHW response time, if this was the case.</w:t>
      </w:r>
    </w:p>
    <w:p w14:paraId="69DB7923" w14:textId="35560156" w:rsidR="003F027B" w:rsidRPr="0068185E" w:rsidRDefault="00701A1C"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Conclusions</w:t>
      </w:r>
    </w:p>
    <w:p w14:paraId="2228CF46" w14:textId="1141D887" w:rsidR="003F027B" w:rsidRDefault="006C2780" w:rsidP="006C2780">
      <w:pPr>
        <w:spacing w:before="240" w:after="120"/>
        <w:jc w:val="both"/>
        <w:rPr>
          <w:lang w:val="en-GB"/>
        </w:rPr>
      </w:pPr>
      <w:r w:rsidRPr="006C2780">
        <w:rPr>
          <w:lang w:val="en-GB"/>
        </w:rPr>
        <w:t xml:space="preserve">Retaining </w:t>
      </w:r>
      <w:r w:rsidRPr="00C43D1A">
        <w:rPr>
          <w:lang w:val="en-GB"/>
        </w:rPr>
        <w:t xml:space="preserve">45°C </w:t>
      </w:r>
      <w:r>
        <w:rPr>
          <w:lang w:val="en-GB"/>
        </w:rPr>
        <w:t xml:space="preserve">as the threshold for DHW generation temperature as part of the response time test remains appropriate, as does the objective to permit delivery of DHW within </w:t>
      </w:r>
      <w:r w:rsidRPr="00C43D1A">
        <w:rPr>
          <w:lang w:val="en-GB"/>
        </w:rPr>
        <w:t>with 45 seconds</w:t>
      </w:r>
      <w:r>
        <w:rPr>
          <w:lang w:val="en-GB"/>
        </w:rPr>
        <w:t>.</w:t>
      </w:r>
    </w:p>
    <w:p w14:paraId="76B31009" w14:textId="464BDDBC" w:rsidR="006C2780" w:rsidRDefault="006C2780" w:rsidP="006C2780">
      <w:pPr>
        <w:spacing w:before="240" w:after="120"/>
        <w:jc w:val="both"/>
        <w:rPr>
          <w:lang w:val="en-GB"/>
        </w:rPr>
      </w:pPr>
      <w:r>
        <w:rPr>
          <w:lang w:val="en-GB"/>
        </w:rPr>
        <w:t xml:space="preserve">It is not entirely clear what the upper threshold for HIU generation time should be, to enable DHW to be delivered within 45 seconds. However, there is some concern that the target would be missed for longer </w:t>
      </w:r>
      <w:r w:rsidR="00BF3C39">
        <w:rPr>
          <w:lang w:val="en-GB"/>
        </w:rPr>
        <w:t xml:space="preserve">lengths </w:t>
      </w:r>
      <w:r>
        <w:rPr>
          <w:lang w:val="en-GB"/>
        </w:rPr>
        <w:t xml:space="preserve">pipework, particularly </w:t>
      </w:r>
      <w:r w:rsidR="00BF3C39">
        <w:rPr>
          <w:lang w:val="en-GB"/>
        </w:rPr>
        <w:t>if a more ‘traditional’ approach is taken to DHW pipe sizing.</w:t>
      </w:r>
    </w:p>
    <w:p w14:paraId="6D00C6AC" w14:textId="7157EDF2" w:rsidR="00BF3C39" w:rsidRDefault="00BF3C39" w:rsidP="006C2780">
      <w:pPr>
        <w:spacing w:before="240" w:after="120"/>
        <w:jc w:val="both"/>
        <w:rPr>
          <w:lang w:val="en-GB"/>
        </w:rPr>
      </w:pPr>
      <w:r>
        <w:rPr>
          <w:lang w:val="en-GB"/>
        </w:rPr>
        <w:t>As a general matter, reducing HIU generation time will improve delivery times. For this to make a meaningful difference, it would make sense to reduce significantly – e.g. to 10 seconds.</w:t>
      </w:r>
    </w:p>
    <w:p w14:paraId="225E5B67" w14:textId="1D314F3A" w:rsidR="00BF3C39" w:rsidRPr="00BF3C39" w:rsidRDefault="00BF3C39" w:rsidP="00BF3C39">
      <w:pPr>
        <w:spacing w:before="240" w:after="120"/>
        <w:jc w:val="both"/>
        <w:rPr>
          <w:lang w:val="en-GB"/>
        </w:rPr>
      </w:pPr>
      <w:r>
        <w:rPr>
          <w:lang w:val="en-GB"/>
        </w:rPr>
        <w:t>However, from the data it would appear that a significant proportion of HIUs on the market would struggle to meet this requirement, particularly on the low temperature regime.</w:t>
      </w:r>
    </w:p>
    <w:p w14:paraId="09B579B3" w14:textId="5A06784C" w:rsidR="003F027B" w:rsidRPr="0068185E" w:rsidRDefault="0068185E" w:rsidP="0068185E">
      <w:pPr>
        <w:pStyle w:val="Heading1"/>
        <w:rPr>
          <w:rFonts w:asciiTheme="minorHAnsi" w:hAnsiTheme="minorHAnsi" w:cstheme="minorHAnsi"/>
          <w:sz w:val="22"/>
          <w:szCs w:val="22"/>
        </w:rPr>
      </w:pPr>
      <w:r w:rsidRPr="0068185E">
        <w:rPr>
          <w:rFonts w:asciiTheme="minorHAnsi" w:hAnsiTheme="minorHAnsi" w:cstheme="minorHAnsi"/>
          <w:b/>
          <w:bCs/>
          <w:sz w:val="22"/>
          <w:szCs w:val="22"/>
        </w:rPr>
        <w:t>Recommendation</w:t>
      </w:r>
    </w:p>
    <w:p w14:paraId="62D6C0A1" w14:textId="003F63FB" w:rsidR="00BF3C39" w:rsidRDefault="00BF3C39" w:rsidP="00BF3C39">
      <w:pPr>
        <w:spacing w:before="240" w:after="120"/>
        <w:jc w:val="both"/>
        <w:rPr>
          <w:lang w:val="en-GB"/>
        </w:rPr>
      </w:pPr>
      <w:r w:rsidRPr="166901AE">
        <w:rPr>
          <w:lang w:val="en-GB"/>
        </w:rPr>
        <w:t>Retain 45°C within 15 seconds for the moment</w:t>
      </w:r>
      <w:r w:rsidR="002A2F86" w:rsidRPr="166901AE">
        <w:rPr>
          <w:lang w:val="en-GB"/>
        </w:rPr>
        <w:t xml:space="preserve">, with a soft signal to the market that </w:t>
      </w:r>
      <w:r w:rsidR="002A2F86" w:rsidRPr="00506E05">
        <w:rPr>
          <w:lang w:val="en-GB"/>
        </w:rPr>
        <w:t xml:space="preserve">this </w:t>
      </w:r>
      <w:r w:rsidR="00506E05" w:rsidRPr="00506E05">
        <w:rPr>
          <w:lang w:val="en-GB"/>
        </w:rPr>
        <w:t>is likely to</w:t>
      </w:r>
      <w:r w:rsidR="1887785F" w:rsidRPr="00506E05">
        <w:rPr>
          <w:lang w:val="en-GB"/>
        </w:rPr>
        <w:t xml:space="preserve"> be</w:t>
      </w:r>
      <w:r w:rsidR="002A2F86" w:rsidRPr="166901AE">
        <w:rPr>
          <w:lang w:val="en-GB"/>
        </w:rPr>
        <w:t xml:space="preserve"> reduced </w:t>
      </w:r>
      <w:r w:rsidR="60492991" w:rsidRPr="166901AE">
        <w:rPr>
          <w:lang w:val="en-GB"/>
        </w:rPr>
        <w:t xml:space="preserve">to 10 seconds </w:t>
      </w:r>
      <w:r w:rsidR="002A2F86" w:rsidRPr="166901AE">
        <w:rPr>
          <w:lang w:val="en-GB"/>
        </w:rPr>
        <w:t>in</w:t>
      </w:r>
      <w:r w:rsidR="0D2EC4AF" w:rsidRPr="166901AE">
        <w:rPr>
          <w:lang w:val="en-GB"/>
        </w:rPr>
        <w:t xml:space="preserve"> the next iteration of the test regime, in order to give manufacturers sufficient time to make changes to their units</w:t>
      </w:r>
      <w:r w:rsidR="002A2F86" w:rsidRPr="166901AE">
        <w:rPr>
          <w:lang w:val="en-GB"/>
        </w:rPr>
        <w:t>.</w:t>
      </w:r>
    </w:p>
    <w:p w14:paraId="2146745E" w14:textId="3EFF7DE2" w:rsidR="003F027B" w:rsidRPr="002A2F86" w:rsidRDefault="00BF3C39" w:rsidP="002A2F86">
      <w:pPr>
        <w:spacing w:before="240" w:after="120"/>
        <w:jc w:val="both"/>
        <w:rPr>
          <w:lang w:val="en-GB"/>
        </w:rPr>
      </w:pPr>
      <w:r>
        <w:rPr>
          <w:lang w:val="en-GB"/>
        </w:rPr>
        <w:t xml:space="preserve">Communicate the need to </w:t>
      </w:r>
      <w:r w:rsidR="002A2F86">
        <w:rPr>
          <w:lang w:val="en-GB"/>
        </w:rPr>
        <w:t>reduce DHW pipe sizing, as this has a more significant potential to reduce delivery times than HIU generation time at the moment.</w:t>
      </w:r>
    </w:p>
    <w:p w14:paraId="00B83D09" w14:textId="7AE3C0BC" w:rsidR="00DE687E" w:rsidRPr="0068185E" w:rsidRDefault="00DE687E" w:rsidP="003F027B">
      <w:pPr>
        <w:pStyle w:val="Heading1"/>
        <w:rPr>
          <w:rFonts w:asciiTheme="minorHAnsi" w:hAnsiTheme="minorHAnsi" w:cstheme="minorHAnsi"/>
          <w:b/>
          <w:sz w:val="22"/>
          <w:szCs w:val="22"/>
        </w:rPr>
      </w:pPr>
      <w:r w:rsidRPr="0068185E">
        <w:rPr>
          <w:rFonts w:asciiTheme="minorHAnsi" w:hAnsiTheme="minorHAnsi" w:cstheme="minorHAnsi"/>
          <w:b/>
          <w:sz w:val="22"/>
          <w:szCs w:val="22"/>
        </w:rPr>
        <w:t>References</w:t>
      </w:r>
    </w:p>
    <w:p w14:paraId="1CD3DC8A" w14:textId="0E65E383" w:rsidR="00DE687E" w:rsidRPr="002A2F86" w:rsidRDefault="00DE687E" w:rsidP="00701A1C">
      <w:pPr>
        <w:jc w:val="both"/>
        <w:rPr>
          <w:rFonts w:cstheme="minorHAnsi"/>
        </w:rPr>
      </w:pPr>
      <w:r w:rsidRPr="0068185E">
        <w:rPr>
          <w:rFonts w:cstheme="minorHAnsi"/>
        </w:rPr>
        <w:t>[1]</w:t>
      </w:r>
      <w:r w:rsidR="002A2F86">
        <w:rPr>
          <w:rFonts w:cstheme="minorHAnsi"/>
        </w:rPr>
        <w:t xml:space="preserve"> CIBSE/ADE (2020)</w:t>
      </w:r>
      <w:r w:rsidRPr="0068185E">
        <w:rPr>
          <w:rFonts w:cstheme="minorHAnsi"/>
        </w:rPr>
        <w:t xml:space="preserve"> </w:t>
      </w:r>
      <w:r w:rsidR="002A2F86">
        <w:rPr>
          <w:rFonts w:cstheme="minorHAnsi"/>
        </w:rPr>
        <w:t>H</w:t>
      </w:r>
      <w:r w:rsidR="002A2F86" w:rsidRPr="002A2F86">
        <w:rPr>
          <w:rFonts w:cstheme="minorHAnsi"/>
          <w:i/>
          <w:iCs/>
        </w:rPr>
        <w:t>eat Networks: Code of Practice for the UK</w:t>
      </w:r>
      <w:r w:rsidR="002A2F86">
        <w:rPr>
          <w:rFonts w:cstheme="minorHAnsi"/>
        </w:rPr>
        <w:t>. CIBSE CP1 2020</w:t>
      </w:r>
    </w:p>
    <w:p w14:paraId="1A5CEC1F" w14:textId="2E7FBC16" w:rsidR="00DE687E" w:rsidRPr="002A2F86" w:rsidRDefault="00DE687E" w:rsidP="003F027B">
      <w:pPr>
        <w:jc w:val="both"/>
        <w:rPr>
          <w:rFonts w:cstheme="minorHAnsi"/>
          <w:lang w:val="en-GB"/>
        </w:rPr>
      </w:pPr>
      <w:r w:rsidRPr="002A2F86">
        <w:rPr>
          <w:rFonts w:cstheme="minorHAnsi"/>
          <w:lang w:val="en-GB"/>
        </w:rPr>
        <w:lastRenderedPageBreak/>
        <w:t xml:space="preserve">[2] </w:t>
      </w:r>
      <w:r w:rsidR="002A2F86" w:rsidRPr="002A2F86">
        <w:rPr>
          <w:rFonts w:cstheme="minorHAnsi"/>
          <w:lang w:val="en-GB"/>
        </w:rPr>
        <w:t>CIBSE Guidance Note: Domestic hot wa</w:t>
      </w:r>
      <w:r w:rsidR="002A2F86">
        <w:rPr>
          <w:rFonts w:cstheme="minorHAnsi"/>
          <w:lang w:val="en-GB"/>
        </w:rPr>
        <w:t>ter temperatures from instantaneous heat interface units</w:t>
      </w:r>
    </w:p>
    <w:p w14:paraId="79DB2D03" w14:textId="1E61F463" w:rsidR="00DE687E" w:rsidRPr="002A2F86" w:rsidRDefault="00DE687E" w:rsidP="00701A1C">
      <w:pPr>
        <w:jc w:val="both"/>
        <w:rPr>
          <w:rFonts w:cstheme="minorHAnsi"/>
          <w:lang w:val="en-GB"/>
        </w:rPr>
      </w:pPr>
      <w:r w:rsidRPr="002A2F86">
        <w:rPr>
          <w:rFonts w:cstheme="minorHAnsi"/>
          <w:lang w:val="en-GB"/>
        </w:rPr>
        <w:t xml:space="preserve">[3] </w:t>
      </w:r>
      <w:r w:rsidR="002A2F86" w:rsidRPr="002A2F86">
        <w:rPr>
          <w:rFonts w:cstheme="minorHAnsi"/>
          <w:lang w:val="en-GB"/>
        </w:rPr>
        <w:t xml:space="preserve">HSE (2014) </w:t>
      </w:r>
      <w:r w:rsidR="002A2F86" w:rsidRPr="00D87880">
        <w:rPr>
          <w:rFonts w:cstheme="minorHAnsi"/>
          <w:i/>
          <w:iCs/>
          <w:lang w:val="en-GB"/>
        </w:rPr>
        <w:t>Legionnaires’ Disease: Technical Guidance. Part 2: The control of legionella bacteria in hot and cold water systems</w:t>
      </w:r>
      <w:r w:rsidR="002A2F86">
        <w:rPr>
          <w:rFonts w:cstheme="minorHAnsi"/>
          <w:lang w:val="en-GB"/>
        </w:rPr>
        <w:t xml:space="preserve"> HSG274.</w:t>
      </w:r>
    </w:p>
    <w:sectPr w:rsidR="00DE687E" w:rsidRPr="002A2F86" w:rsidSect="002945CC">
      <w:headerReference w:type="default" r:id="rId17"/>
      <w:headerReference w:type="first" r:id="rId18"/>
      <w:pgSz w:w="12240" w:h="15840" w:code="1"/>
      <w:pgMar w:top="993" w:right="1467"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DFF9C" w14:textId="77777777" w:rsidR="00FC71B2" w:rsidRDefault="00FC71B2">
      <w:pPr>
        <w:spacing w:after="0" w:line="240" w:lineRule="auto"/>
      </w:pPr>
      <w:r>
        <w:separator/>
      </w:r>
    </w:p>
  </w:endnote>
  <w:endnote w:type="continuationSeparator" w:id="0">
    <w:p w14:paraId="57DA125E" w14:textId="77777777" w:rsidR="00FC71B2" w:rsidRDefault="00FC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jdhani Semibold">
    <w:altName w:val="Mangal"/>
    <w:panose1 w:val="02000000000000000000"/>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ajdhani">
    <w:altName w:val="Mangal"/>
    <w:panose1 w:val="020000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3C06F" w14:textId="77777777" w:rsidR="00FC71B2" w:rsidRDefault="00FC71B2">
      <w:pPr>
        <w:spacing w:after="0" w:line="240" w:lineRule="auto"/>
      </w:pPr>
      <w:r>
        <w:separator/>
      </w:r>
    </w:p>
  </w:footnote>
  <w:footnote w:type="continuationSeparator" w:id="0">
    <w:p w14:paraId="1807E194" w14:textId="77777777" w:rsidR="00FC71B2" w:rsidRDefault="00FC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40BE" w14:textId="77777777" w:rsidR="00A53A57" w:rsidRDefault="00A53A57" w:rsidP="00CE723C">
    <w:pPr>
      <w:pStyle w:val="Header"/>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4369" w14:textId="77777777" w:rsidR="00A53A57" w:rsidRDefault="00A53A57" w:rsidP="00CE723C">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8780B"/>
    <w:multiLevelType w:val="multilevel"/>
    <w:tmpl w:val="E724E856"/>
    <w:lvl w:ilvl="0">
      <w:start w:val="1"/>
      <w:numFmt w:val="decimal"/>
      <w:pStyle w:val="Heading1"/>
      <w:lvlText w:val="%1."/>
      <w:lvlJc w:val="left"/>
      <w:pPr>
        <w:ind w:left="360" w:hanging="360"/>
      </w:pPr>
      <w:rPr>
        <w:rFonts w:hint="default"/>
        <w:b/>
        <w:bCs/>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AF121E2"/>
    <w:multiLevelType w:val="hybridMultilevel"/>
    <w:tmpl w:val="E79E3870"/>
    <w:lvl w:ilvl="0" w:tplc="65DC11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61157426">
    <w:abstractNumId w:val="0"/>
  </w:num>
  <w:num w:numId="2" w16cid:durableId="94962479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EE"/>
    <w:rsid w:val="000030C3"/>
    <w:rsid w:val="00005C0A"/>
    <w:rsid w:val="00006E3F"/>
    <w:rsid w:val="00017C28"/>
    <w:rsid w:val="00024C44"/>
    <w:rsid w:val="00037430"/>
    <w:rsid w:val="00063809"/>
    <w:rsid w:val="00081541"/>
    <w:rsid w:val="00092AF5"/>
    <w:rsid w:val="000A1211"/>
    <w:rsid w:val="000A4606"/>
    <w:rsid w:val="000A514D"/>
    <w:rsid w:val="000A7BA8"/>
    <w:rsid w:val="000C1CF1"/>
    <w:rsid w:val="000C6750"/>
    <w:rsid w:val="000D246E"/>
    <w:rsid w:val="000D7182"/>
    <w:rsid w:val="000E2B11"/>
    <w:rsid w:val="000E4169"/>
    <w:rsid w:val="00102BEB"/>
    <w:rsid w:val="001068EA"/>
    <w:rsid w:val="00110E35"/>
    <w:rsid w:val="00112261"/>
    <w:rsid w:val="001123DB"/>
    <w:rsid w:val="0011479D"/>
    <w:rsid w:val="00127A4E"/>
    <w:rsid w:val="00136822"/>
    <w:rsid w:val="00141959"/>
    <w:rsid w:val="00146175"/>
    <w:rsid w:val="00151ED7"/>
    <w:rsid w:val="00171091"/>
    <w:rsid w:val="001825C8"/>
    <w:rsid w:val="00192E26"/>
    <w:rsid w:val="0019568D"/>
    <w:rsid w:val="001A7657"/>
    <w:rsid w:val="001A795E"/>
    <w:rsid w:val="001C0EDE"/>
    <w:rsid w:val="001C2801"/>
    <w:rsid w:val="001E4FA5"/>
    <w:rsid w:val="001F4EA9"/>
    <w:rsid w:val="00201511"/>
    <w:rsid w:val="002027FD"/>
    <w:rsid w:val="00220E70"/>
    <w:rsid w:val="0022707A"/>
    <w:rsid w:val="002355F5"/>
    <w:rsid w:val="00241E64"/>
    <w:rsid w:val="0024528F"/>
    <w:rsid w:val="00251018"/>
    <w:rsid w:val="00252304"/>
    <w:rsid w:val="00254F66"/>
    <w:rsid w:val="00274085"/>
    <w:rsid w:val="002751DB"/>
    <w:rsid w:val="002833B4"/>
    <w:rsid w:val="00287A5F"/>
    <w:rsid w:val="00291E90"/>
    <w:rsid w:val="002945CC"/>
    <w:rsid w:val="002A2F86"/>
    <w:rsid w:val="002B2232"/>
    <w:rsid w:val="002C0D2B"/>
    <w:rsid w:val="002C12E6"/>
    <w:rsid w:val="002C6540"/>
    <w:rsid w:val="002C709E"/>
    <w:rsid w:val="002D0C65"/>
    <w:rsid w:val="002D62B8"/>
    <w:rsid w:val="002E33CE"/>
    <w:rsid w:val="002E55CB"/>
    <w:rsid w:val="002F54C3"/>
    <w:rsid w:val="003064E2"/>
    <w:rsid w:val="003256D9"/>
    <w:rsid w:val="00327E03"/>
    <w:rsid w:val="00333541"/>
    <w:rsid w:val="00335544"/>
    <w:rsid w:val="0033694B"/>
    <w:rsid w:val="00370376"/>
    <w:rsid w:val="00370987"/>
    <w:rsid w:val="00372C88"/>
    <w:rsid w:val="003736AA"/>
    <w:rsid w:val="00373DAB"/>
    <w:rsid w:val="00383B04"/>
    <w:rsid w:val="00394D8B"/>
    <w:rsid w:val="003B2B94"/>
    <w:rsid w:val="003C1C3F"/>
    <w:rsid w:val="003C1FBC"/>
    <w:rsid w:val="003C3D4A"/>
    <w:rsid w:val="003C5E3F"/>
    <w:rsid w:val="003D1403"/>
    <w:rsid w:val="003D3199"/>
    <w:rsid w:val="003F027B"/>
    <w:rsid w:val="003F7809"/>
    <w:rsid w:val="00412AAC"/>
    <w:rsid w:val="00417615"/>
    <w:rsid w:val="00421806"/>
    <w:rsid w:val="004250AB"/>
    <w:rsid w:val="00427FAC"/>
    <w:rsid w:val="00431D60"/>
    <w:rsid w:val="004322A5"/>
    <w:rsid w:val="00442888"/>
    <w:rsid w:val="00447479"/>
    <w:rsid w:val="00462B0A"/>
    <w:rsid w:val="0046314B"/>
    <w:rsid w:val="00471551"/>
    <w:rsid w:val="00472094"/>
    <w:rsid w:val="004767A9"/>
    <w:rsid w:val="004813E6"/>
    <w:rsid w:val="00482752"/>
    <w:rsid w:val="00483F46"/>
    <w:rsid w:val="00486806"/>
    <w:rsid w:val="004B061E"/>
    <w:rsid w:val="004C0C57"/>
    <w:rsid w:val="004C4E6D"/>
    <w:rsid w:val="004D3E62"/>
    <w:rsid w:val="004D4981"/>
    <w:rsid w:val="004E02FF"/>
    <w:rsid w:val="004E29E7"/>
    <w:rsid w:val="004E2F28"/>
    <w:rsid w:val="004F41FB"/>
    <w:rsid w:val="00503911"/>
    <w:rsid w:val="00505EA4"/>
    <w:rsid w:val="00506DC8"/>
    <w:rsid w:val="00506E05"/>
    <w:rsid w:val="00515AC9"/>
    <w:rsid w:val="005311C2"/>
    <w:rsid w:val="00535478"/>
    <w:rsid w:val="005479E4"/>
    <w:rsid w:val="00552C56"/>
    <w:rsid w:val="00555E6C"/>
    <w:rsid w:val="005730E1"/>
    <w:rsid w:val="005815BC"/>
    <w:rsid w:val="005B5F60"/>
    <w:rsid w:val="005C13A8"/>
    <w:rsid w:val="005D2B1E"/>
    <w:rsid w:val="005E3183"/>
    <w:rsid w:val="005E3B87"/>
    <w:rsid w:val="005F1268"/>
    <w:rsid w:val="00606B76"/>
    <w:rsid w:val="006072ED"/>
    <w:rsid w:val="00614063"/>
    <w:rsid w:val="00624E9C"/>
    <w:rsid w:val="00644915"/>
    <w:rsid w:val="0064639A"/>
    <w:rsid w:val="0065050F"/>
    <w:rsid w:val="00650EDB"/>
    <w:rsid w:val="0066179F"/>
    <w:rsid w:val="006657FD"/>
    <w:rsid w:val="0068185E"/>
    <w:rsid w:val="006940EC"/>
    <w:rsid w:val="006A0E19"/>
    <w:rsid w:val="006A2F96"/>
    <w:rsid w:val="006A78EE"/>
    <w:rsid w:val="006B3F01"/>
    <w:rsid w:val="006B41D7"/>
    <w:rsid w:val="006C12DA"/>
    <w:rsid w:val="006C2780"/>
    <w:rsid w:val="006D0A95"/>
    <w:rsid w:val="006E6C3A"/>
    <w:rsid w:val="006F270F"/>
    <w:rsid w:val="006F410B"/>
    <w:rsid w:val="00701A1C"/>
    <w:rsid w:val="00702784"/>
    <w:rsid w:val="00705BAF"/>
    <w:rsid w:val="00705D1F"/>
    <w:rsid w:val="007063B3"/>
    <w:rsid w:val="00715F96"/>
    <w:rsid w:val="00716019"/>
    <w:rsid w:val="00716A98"/>
    <w:rsid w:val="00716EFC"/>
    <w:rsid w:val="0072196B"/>
    <w:rsid w:val="00727399"/>
    <w:rsid w:val="00727F39"/>
    <w:rsid w:val="00730ED8"/>
    <w:rsid w:val="0073361E"/>
    <w:rsid w:val="00733A52"/>
    <w:rsid w:val="007359CB"/>
    <w:rsid w:val="007476AF"/>
    <w:rsid w:val="007501EA"/>
    <w:rsid w:val="007578E4"/>
    <w:rsid w:val="00772E4B"/>
    <w:rsid w:val="007758F9"/>
    <w:rsid w:val="00783018"/>
    <w:rsid w:val="007879FC"/>
    <w:rsid w:val="0079070F"/>
    <w:rsid w:val="00792F69"/>
    <w:rsid w:val="00795D3A"/>
    <w:rsid w:val="00796AD3"/>
    <w:rsid w:val="007A5137"/>
    <w:rsid w:val="007B37C4"/>
    <w:rsid w:val="007C170F"/>
    <w:rsid w:val="007D19D0"/>
    <w:rsid w:val="007E278F"/>
    <w:rsid w:val="007F425A"/>
    <w:rsid w:val="007F77DA"/>
    <w:rsid w:val="00803E10"/>
    <w:rsid w:val="00814A63"/>
    <w:rsid w:val="00831D8F"/>
    <w:rsid w:val="00836B55"/>
    <w:rsid w:val="008408AE"/>
    <w:rsid w:val="00841A61"/>
    <w:rsid w:val="0085735C"/>
    <w:rsid w:val="0086162D"/>
    <w:rsid w:val="008671EC"/>
    <w:rsid w:val="0087348A"/>
    <w:rsid w:val="00875708"/>
    <w:rsid w:val="00886D00"/>
    <w:rsid w:val="00890084"/>
    <w:rsid w:val="00890D4C"/>
    <w:rsid w:val="0089122F"/>
    <w:rsid w:val="008A3EE5"/>
    <w:rsid w:val="008A59BA"/>
    <w:rsid w:val="008B02E4"/>
    <w:rsid w:val="008B2DCF"/>
    <w:rsid w:val="008D05E4"/>
    <w:rsid w:val="008F0B30"/>
    <w:rsid w:val="008F210D"/>
    <w:rsid w:val="008F63FC"/>
    <w:rsid w:val="00903705"/>
    <w:rsid w:val="00912591"/>
    <w:rsid w:val="00914BE2"/>
    <w:rsid w:val="00917A03"/>
    <w:rsid w:val="0092684B"/>
    <w:rsid w:val="00947611"/>
    <w:rsid w:val="009501B8"/>
    <w:rsid w:val="00951C2B"/>
    <w:rsid w:val="00953654"/>
    <w:rsid w:val="00956228"/>
    <w:rsid w:val="00967E59"/>
    <w:rsid w:val="00971A5B"/>
    <w:rsid w:val="00973C5B"/>
    <w:rsid w:val="00994503"/>
    <w:rsid w:val="009A38EE"/>
    <w:rsid w:val="009B0E05"/>
    <w:rsid w:val="009C5367"/>
    <w:rsid w:val="009C74B6"/>
    <w:rsid w:val="009D55A0"/>
    <w:rsid w:val="009D55EF"/>
    <w:rsid w:val="009D6252"/>
    <w:rsid w:val="009D7A2D"/>
    <w:rsid w:val="009D7C52"/>
    <w:rsid w:val="009E2B03"/>
    <w:rsid w:val="009F573F"/>
    <w:rsid w:val="009F5C86"/>
    <w:rsid w:val="00A074E9"/>
    <w:rsid w:val="00A26620"/>
    <w:rsid w:val="00A33458"/>
    <w:rsid w:val="00A44A49"/>
    <w:rsid w:val="00A53A57"/>
    <w:rsid w:val="00A53C11"/>
    <w:rsid w:val="00A612AA"/>
    <w:rsid w:val="00A63DAD"/>
    <w:rsid w:val="00A677BA"/>
    <w:rsid w:val="00A67A92"/>
    <w:rsid w:val="00A75691"/>
    <w:rsid w:val="00A80C55"/>
    <w:rsid w:val="00AA1D76"/>
    <w:rsid w:val="00AA4A99"/>
    <w:rsid w:val="00AA7242"/>
    <w:rsid w:val="00AB1FA3"/>
    <w:rsid w:val="00AB2778"/>
    <w:rsid w:val="00AC129D"/>
    <w:rsid w:val="00AC24F1"/>
    <w:rsid w:val="00AC254B"/>
    <w:rsid w:val="00AC38FF"/>
    <w:rsid w:val="00AC4391"/>
    <w:rsid w:val="00AD25AC"/>
    <w:rsid w:val="00AD2E03"/>
    <w:rsid w:val="00AD7C39"/>
    <w:rsid w:val="00AE116D"/>
    <w:rsid w:val="00AF085A"/>
    <w:rsid w:val="00AF2213"/>
    <w:rsid w:val="00B06630"/>
    <w:rsid w:val="00B10495"/>
    <w:rsid w:val="00B236D1"/>
    <w:rsid w:val="00B23882"/>
    <w:rsid w:val="00B266F0"/>
    <w:rsid w:val="00B3183E"/>
    <w:rsid w:val="00B36BCE"/>
    <w:rsid w:val="00B370CE"/>
    <w:rsid w:val="00B41E61"/>
    <w:rsid w:val="00B435F6"/>
    <w:rsid w:val="00B4743F"/>
    <w:rsid w:val="00B5003E"/>
    <w:rsid w:val="00B51ADA"/>
    <w:rsid w:val="00B52F24"/>
    <w:rsid w:val="00B5487A"/>
    <w:rsid w:val="00B73DB7"/>
    <w:rsid w:val="00B82125"/>
    <w:rsid w:val="00B9040C"/>
    <w:rsid w:val="00BA3279"/>
    <w:rsid w:val="00BA54AF"/>
    <w:rsid w:val="00BA5F7E"/>
    <w:rsid w:val="00BB5780"/>
    <w:rsid w:val="00BC596D"/>
    <w:rsid w:val="00BD19E7"/>
    <w:rsid w:val="00BD41D5"/>
    <w:rsid w:val="00BD7045"/>
    <w:rsid w:val="00BE792F"/>
    <w:rsid w:val="00BF3C39"/>
    <w:rsid w:val="00BF63A8"/>
    <w:rsid w:val="00C02C88"/>
    <w:rsid w:val="00C075C6"/>
    <w:rsid w:val="00C15187"/>
    <w:rsid w:val="00C20D26"/>
    <w:rsid w:val="00C314B0"/>
    <w:rsid w:val="00C33405"/>
    <w:rsid w:val="00C36C20"/>
    <w:rsid w:val="00C41EF4"/>
    <w:rsid w:val="00C42053"/>
    <w:rsid w:val="00C43D1A"/>
    <w:rsid w:val="00C45690"/>
    <w:rsid w:val="00C518CC"/>
    <w:rsid w:val="00C524C4"/>
    <w:rsid w:val="00C600E1"/>
    <w:rsid w:val="00C61C78"/>
    <w:rsid w:val="00C905A2"/>
    <w:rsid w:val="00C91E83"/>
    <w:rsid w:val="00CA446F"/>
    <w:rsid w:val="00CA68AD"/>
    <w:rsid w:val="00CC19E7"/>
    <w:rsid w:val="00CC2404"/>
    <w:rsid w:val="00CD088C"/>
    <w:rsid w:val="00CD64BA"/>
    <w:rsid w:val="00CE0357"/>
    <w:rsid w:val="00CE723C"/>
    <w:rsid w:val="00D03704"/>
    <w:rsid w:val="00D05BF2"/>
    <w:rsid w:val="00D21FA2"/>
    <w:rsid w:val="00D26D9F"/>
    <w:rsid w:val="00D32AAF"/>
    <w:rsid w:val="00D36A1B"/>
    <w:rsid w:val="00D44894"/>
    <w:rsid w:val="00D61501"/>
    <w:rsid w:val="00D63618"/>
    <w:rsid w:val="00D67A90"/>
    <w:rsid w:val="00D803AE"/>
    <w:rsid w:val="00D87270"/>
    <w:rsid w:val="00D87880"/>
    <w:rsid w:val="00DB3AB7"/>
    <w:rsid w:val="00DC7767"/>
    <w:rsid w:val="00DC7A9D"/>
    <w:rsid w:val="00DD2B61"/>
    <w:rsid w:val="00DD640E"/>
    <w:rsid w:val="00DE687E"/>
    <w:rsid w:val="00DE6F49"/>
    <w:rsid w:val="00DF6E92"/>
    <w:rsid w:val="00E100B5"/>
    <w:rsid w:val="00E10C0C"/>
    <w:rsid w:val="00E1649B"/>
    <w:rsid w:val="00E212AE"/>
    <w:rsid w:val="00E24886"/>
    <w:rsid w:val="00E30ACA"/>
    <w:rsid w:val="00E3628C"/>
    <w:rsid w:val="00E367A8"/>
    <w:rsid w:val="00E42E69"/>
    <w:rsid w:val="00E4518A"/>
    <w:rsid w:val="00E4572D"/>
    <w:rsid w:val="00E53138"/>
    <w:rsid w:val="00E7342B"/>
    <w:rsid w:val="00E756A1"/>
    <w:rsid w:val="00E76C8B"/>
    <w:rsid w:val="00E77170"/>
    <w:rsid w:val="00E7764C"/>
    <w:rsid w:val="00E86136"/>
    <w:rsid w:val="00E921EE"/>
    <w:rsid w:val="00E93194"/>
    <w:rsid w:val="00EB2BAD"/>
    <w:rsid w:val="00EB55AF"/>
    <w:rsid w:val="00EC2F18"/>
    <w:rsid w:val="00EC32C5"/>
    <w:rsid w:val="00EC5FF5"/>
    <w:rsid w:val="00EC7694"/>
    <w:rsid w:val="00EC7BF9"/>
    <w:rsid w:val="00EC7CF5"/>
    <w:rsid w:val="00ED06A6"/>
    <w:rsid w:val="00EF70C1"/>
    <w:rsid w:val="00F00282"/>
    <w:rsid w:val="00F02696"/>
    <w:rsid w:val="00F04A4F"/>
    <w:rsid w:val="00F12B0F"/>
    <w:rsid w:val="00F314BA"/>
    <w:rsid w:val="00F316F7"/>
    <w:rsid w:val="00F43A5F"/>
    <w:rsid w:val="00F4602F"/>
    <w:rsid w:val="00F46DEA"/>
    <w:rsid w:val="00F5063C"/>
    <w:rsid w:val="00F62BAF"/>
    <w:rsid w:val="00F6499B"/>
    <w:rsid w:val="00F67B11"/>
    <w:rsid w:val="00F7303A"/>
    <w:rsid w:val="00F77501"/>
    <w:rsid w:val="00F91718"/>
    <w:rsid w:val="00F95286"/>
    <w:rsid w:val="00FA2D2D"/>
    <w:rsid w:val="00FA39E7"/>
    <w:rsid w:val="00FB517D"/>
    <w:rsid w:val="00FB6C43"/>
    <w:rsid w:val="00FC17AA"/>
    <w:rsid w:val="00FC71B2"/>
    <w:rsid w:val="00FD1C44"/>
    <w:rsid w:val="00FE19FC"/>
    <w:rsid w:val="00FE60AA"/>
    <w:rsid w:val="00FE6DB7"/>
    <w:rsid w:val="00FF35CE"/>
    <w:rsid w:val="0C339EFE"/>
    <w:rsid w:val="0D2EC4AF"/>
    <w:rsid w:val="166901AE"/>
    <w:rsid w:val="1887785F"/>
    <w:rsid w:val="1D2E252D"/>
    <w:rsid w:val="2B370969"/>
    <w:rsid w:val="5CAA7BE4"/>
    <w:rsid w:val="5FC3F1C9"/>
    <w:rsid w:val="60492991"/>
    <w:rsid w:val="67CA1E4E"/>
    <w:rsid w:val="7087180F"/>
    <w:rsid w:val="713A545B"/>
    <w:rsid w:val="78DDECE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32EA3"/>
  <w15:docId w15:val="{53E2A9D0-F24D-4413-9F4C-6945C5CB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994503"/>
  </w:style>
  <w:style w:type="paragraph" w:styleId="Heading1">
    <w:name w:val="heading 1"/>
    <w:aliases w:val="[F] H1"/>
    <w:basedOn w:val="Normal"/>
    <w:next w:val="Normal"/>
    <w:link w:val="Heading1Char"/>
    <w:uiPriority w:val="9"/>
    <w:qFormat/>
    <w:rsid w:val="00F43A5F"/>
    <w:pPr>
      <w:keepNext/>
      <w:keepLines/>
      <w:numPr>
        <w:numId w:val="1"/>
      </w:numPr>
      <w:spacing w:before="240" w:after="0" w:line="259" w:lineRule="auto"/>
      <w:jc w:val="both"/>
      <w:outlineLvl w:val="0"/>
    </w:pPr>
    <w:rPr>
      <w:rFonts w:ascii="Rajdhani Semibold" w:eastAsiaTheme="majorEastAsia" w:hAnsi="Rajdhani Semibold" w:cs="Rajdhani Semibold"/>
      <w:sz w:val="32"/>
      <w:szCs w:val="32"/>
      <w:lang w:val="en-GB"/>
    </w:rPr>
  </w:style>
  <w:style w:type="paragraph" w:styleId="Heading2">
    <w:name w:val="heading 2"/>
    <w:aliases w:val="[F] H2"/>
    <w:basedOn w:val="Normal"/>
    <w:next w:val="Normal"/>
    <w:link w:val="Heading2Char"/>
    <w:uiPriority w:val="9"/>
    <w:unhideWhenUsed/>
    <w:qFormat/>
    <w:rsid w:val="00F43A5F"/>
    <w:pPr>
      <w:keepNext/>
      <w:keepLines/>
      <w:numPr>
        <w:ilvl w:val="1"/>
        <w:numId w:val="1"/>
      </w:numPr>
      <w:spacing w:before="120" w:after="120" w:line="259" w:lineRule="auto"/>
      <w:jc w:val="both"/>
      <w:outlineLvl w:val="1"/>
    </w:pPr>
    <w:rPr>
      <w:rFonts w:ascii="Rajdhani Semibold" w:eastAsiaTheme="majorEastAsia" w:hAnsi="Rajdhani Semibold" w:cs="Rajdhani Semibold"/>
      <w:b/>
      <w:sz w:val="28"/>
      <w:szCs w:val="28"/>
      <w:lang w:val="en-GB"/>
    </w:rPr>
  </w:style>
  <w:style w:type="paragraph" w:styleId="Heading3">
    <w:name w:val="heading 3"/>
    <w:aliases w:val="[F] H3"/>
    <w:basedOn w:val="Normal"/>
    <w:next w:val="Normal"/>
    <w:link w:val="Heading3Char"/>
    <w:uiPriority w:val="9"/>
    <w:unhideWhenUsed/>
    <w:qFormat/>
    <w:rsid w:val="00F43A5F"/>
    <w:pPr>
      <w:keepNext/>
      <w:keepLines/>
      <w:numPr>
        <w:ilvl w:val="2"/>
        <w:numId w:val="1"/>
      </w:numPr>
      <w:spacing w:before="160" w:after="120" w:line="259" w:lineRule="auto"/>
      <w:jc w:val="both"/>
      <w:outlineLvl w:val="2"/>
    </w:pPr>
    <w:rPr>
      <w:rFonts w:ascii="Rajdhani Semibold" w:eastAsiaTheme="majorEastAsia" w:hAnsi="Rajdhani Semibold" w:cs="Rajdhani Semibold"/>
      <w:sz w:val="24"/>
      <w:szCs w:val="24"/>
      <w:lang w:val="en-GB"/>
    </w:rPr>
  </w:style>
  <w:style w:type="paragraph" w:styleId="Heading4">
    <w:name w:val="heading 4"/>
    <w:aliases w:val="[F] H4"/>
    <w:basedOn w:val="Heading3"/>
    <w:next w:val="Normal"/>
    <w:link w:val="Heading4Char"/>
    <w:uiPriority w:val="9"/>
    <w:unhideWhenUsed/>
    <w:qFormat/>
    <w:rsid w:val="00F43A5F"/>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8EE"/>
    <w:rPr>
      <w:rFonts w:ascii="Tahoma" w:hAnsi="Tahoma" w:cs="Tahoma"/>
      <w:sz w:val="16"/>
      <w:szCs w:val="16"/>
    </w:rPr>
  </w:style>
  <w:style w:type="paragraph" w:styleId="NormalWeb">
    <w:name w:val="Normal (Web)"/>
    <w:basedOn w:val="Normal"/>
    <w:uiPriority w:val="99"/>
    <w:unhideWhenUsed/>
    <w:rsid w:val="00471551"/>
    <w:pPr>
      <w:spacing w:before="100" w:beforeAutospacing="1" w:after="100" w:afterAutospacing="1" w:line="240" w:lineRule="auto"/>
    </w:pPr>
    <w:rPr>
      <w:rFonts w:ascii="Times" w:eastAsia="Times New Roman" w:hAnsi="Times" w:cs="Times New Roman"/>
      <w:sz w:val="20"/>
      <w:szCs w:val="20"/>
      <w:lang w:val="en-GB"/>
    </w:rPr>
  </w:style>
  <w:style w:type="paragraph" w:styleId="ListParagraph">
    <w:name w:val="List Paragraph"/>
    <w:basedOn w:val="Normal"/>
    <w:uiPriority w:val="34"/>
    <w:qFormat/>
    <w:rsid w:val="00471551"/>
    <w:pPr>
      <w:spacing w:after="0" w:line="240" w:lineRule="auto"/>
      <w:ind w:left="720"/>
      <w:contextualSpacing/>
    </w:pPr>
    <w:rPr>
      <w:rFonts w:ascii="Trebuchet MS" w:eastAsia="Times New Roman" w:hAnsi="Trebuchet MS" w:cs="Times New Roman"/>
      <w:sz w:val="20"/>
      <w:szCs w:val="20"/>
      <w:lang w:val="en-GB"/>
    </w:rPr>
  </w:style>
  <w:style w:type="character" w:styleId="Hyperlink">
    <w:name w:val="Hyperlink"/>
    <w:basedOn w:val="DefaultParagraphFont"/>
    <w:uiPriority w:val="99"/>
    <w:unhideWhenUsed/>
    <w:rsid w:val="00471551"/>
    <w:rPr>
      <w:color w:val="0000FF" w:themeColor="hyperlink"/>
      <w:u w:val="single"/>
    </w:rPr>
  </w:style>
  <w:style w:type="paragraph" w:styleId="Header">
    <w:name w:val="header"/>
    <w:basedOn w:val="Normal"/>
    <w:link w:val="HeaderChar"/>
    <w:uiPriority w:val="99"/>
    <w:unhideWhenUsed/>
    <w:rsid w:val="00CC19E7"/>
    <w:pPr>
      <w:tabs>
        <w:tab w:val="center" w:pos="4320"/>
        <w:tab w:val="right" w:pos="8640"/>
      </w:tabs>
      <w:spacing w:after="0" w:line="240" w:lineRule="auto"/>
    </w:pPr>
    <w:rPr>
      <w:rFonts w:ascii="Trebuchet MS" w:eastAsia="Times New Roman" w:hAnsi="Trebuchet MS" w:cs="Times New Roman"/>
      <w:sz w:val="20"/>
      <w:szCs w:val="20"/>
      <w:lang w:val="en-GB"/>
    </w:rPr>
  </w:style>
  <w:style w:type="character" w:customStyle="1" w:styleId="HeaderChar">
    <w:name w:val="Header Char"/>
    <w:basedOn w:val="DefaultParagraphFont"/>
    <w:link w:val="Header"/>
    <w:uiPriority w:val="99"/>
    <w:rsid w:val="00CC19E7"/>
    <w:rPr>
      <w:rFonts w:ascii="Trebuchet MS" w:eastAsia="Times New Roman" w:hAnsi="Trebuchet MS" w:cs="Times New Roman"/>
      <w:sz w:val="20"/>
      <w:szCs w:val="20"/>
      <w:lang w:val="en-GB"/>
    </w:rPr>
  </w:style>
  <w:style w:type="paragraph" w:customStyle="1" w:styleId="Default">
    <w:name w:val="Default"/>
    <w:rsid w:val="00D05BF2"/>
    <w:pPr>
      <w:autoSpaceDE w:val="0"/>
      <w:autoSpaceDN w:val="0"/>
      <w:adjustRightInd w:val="0"/>
      <w:spacing w:after="0" w:line="240" w:lineRule="auto"/>
    </w:pPr>
    <w:rPr>
      <w:rFonts w:ascii="Trebuchet MS" w:eastAsiaTheme="minorEastAsia" w:hAnsi="Trebuchet MS" w:cs="Trebuchet MS"/>
      <w:color w:val="000000"/>
      <w:sz w:val="24"/>
      <w:szCs w:val="24"/>
      <w:lang w:val="en-GB"/>
    </w:rPr>
  </w:style>
  <w:style w:type="table" w:styleId="TableGrid">
    <w:name w:val="Table Grid"/>
    <w:basedOn w:val="TableNormal"/>
    <w:uiPriority w:val="59"/>
    <w:rsid w:val="00D05BF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D03704"/>
    <w:rPr>
      <w:b/>
      <w:bCs/>
    </w:rPr>
  </w:style>
  <w:style w:type="character" w:customStyle="1" w:styleId="Heading1Char">
    <w:name w:val="Heading 1 Char"/>
    <w:aliases w:val="[F] H1 Char"/>
    <w:basedOn w:val="DefaultParagraphFont"/>
    <w:link w:val="Heading1"/>
    <w:uiPriority w:val="9"/>
    <w:rsid w:val="00F43A5F"/>
    <w:rPr>
      <w:rFonts w:ascii="Rajdhani Semibold" w:eastAsiaTheme="majorEastAsia" w:hAnsi="Rajdhani Semibold" w:cs="Rajdhani Semibold"/>
      <w:sz w:val="32"/>
      <w:szCs w:val="32"/>
      <w:lang w:val="en-GB"/>
    </w:rPr>
  </w:style>
  <w:style w:type="character" w:customStyle="1" w:styleId="Heading2Char">
    <w:name w:val="Heading 2 Char"/>
    <w:aliases w:val="[F] H2 Char"/>
    <w:basedOn w:val="DefaultParagraphFont"/>
    <w:link w:val="Heading2"/>
    <w:uiPriority w:val="9"/>
    <w:rsid w:val="00F43A5F"/>
    <w:rPr>
      <w:rFonts w:ascii="Rajdhani Semibold" w:eastAsiaTheme="majorEastAsia" w:hAnsi="Rajdhani Semibold" w:cs="Rajdhani Semibold"/>
      <w:b/>
      <w:sz w:val="28"/>
      <w:szCs w:val="28"/>
      <w:lang w:val="en-GB"/>
    </w:rPr>
  </w:style>
  <w:style w:type="character" w:customStyle="1" w:styleId="Heading3Char">
    <w:name w:val="Heading 3 Char"/>
    <w:aliases w:val="[F] H3 Char"/>
    <w:basedOn w:val="DefaultParagraphFont"/>
    <w:link w:val="Heading3"/>
    <w:uiPriority w:val="9"/>
    <w:rsid w:val="00F43A5F"/>
    <w:rPr>
      <w:rFonts w:ascii="Rajdhani Semibold" w:eastAsiaTheme="majorEastAsia" w:hAnsi="Rajdhani Semibold" w:cs="Rajdhani Semibold"/>
      <w:sz w:val="24"/>
      <w:szCs w:val="24"/>
      <w:lang w:val="en-GB"/>
    </w:rPr>
  </w:style>
  <w:style w:type="character" w:customStyle="1" w:styleId="Heading4Char">
    <w:name w:val="Heading 4 Char"/>
    <w:aliases w:val="[F] H4 Char"/>
    <w:basedOn w:val="DefaultParagraphFont"/>
    <w:link w:val="Heading4"/>
    <w:uiPriority w:val="9"/>
    <w:rsid w:val="00F43A5F"/>
    <w:rPr>
      <w:rFonts w:ascii="Rajdhani Semibold" w:eastAsiaTheme="majorEastAsia" w:hAnsi="Rajdhani Semibold" w:cs="Rajdhani Semibold"/>
      <w:sz w:val="24"/>
      <w:szCs w:val="24"/>
      <w:lang w:val="en-GB"/>
    </w:rPr>
  </w:style>
  <w:style w:type="character" w:customStyle="1" w:styleId="Title2Char">
    <w:name w:val="Title 2 Char"/>
    <w:basedOn w:val="DefaultParagraphFont"/>
    <w:link w:val="Title2"/>
    <w:locked/>
    <w:rsid w:val="00F43A5F"/>
    <w:rPr>
      <w:rFonts w:ascii="Rajdhani" w:eastAsiaTheme="majorEastAsia" w:hAnsi="Rajdhani" w:cstheme="majorBidi"/>
      <w:b/>
      <w:spacing w:val="-10"/>
      <w:kern w:val="28"/>
      <w:sz w:val="44"/>
      <w:szCs w:val="44"/>
    </w:rPr>
  </w:style>
  <w:style w:type="paragraph" w:customStyle="1" w:styleId="Title2">
    <w:name w:val="Title 2"/>
    <w:basedOn w:val="Title"/>
    <w:link w:val="Title2Char"/>
    <w:qFormat/>
    <w:rsid w:val="00F43A5F"/>
    <w:pPr>
      <w:spacing w:before="120" w:line="276" w:lineRule="auto"/>
      <w:jc w:val="both"/>
    </w:pPr>
    <w:rPr>
      <w:rFonts w:ascii="Rajdhani" w:hAnsi="Rajdhani"/>
      <w:b/>
      <w:sz w:val="44"/>
      <w:szCs w:val="44"/>
    </w:rPr>
  </w:style>
  <w:style w:type="paragraph" w:styleId="Title">
    <w:name w:val="Title"/>
    <w:basedOn w:val="Normal"/>
    <w:next w:val="Normal"/>
    <w:link w:val="TitleChar"/>
    <w:uiPriority w:val="10"/>
    <w:qFormat/>
    <w:rsid w:val="00F43A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A5F"/>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274085"/>
    <w:rPr>
      <w:sz w:val="16"/>
      <w:szCs w:val="16"/>
    </w:rPr>
  </w:style>
  <w:style w:type="paragraph" w:styleId="CommentText">
    <w:name w:val="annotation text"/>
    <w:basedOn w:val="Normal"/>
    <w:link w:val="CommentTextChar"/>
    <w:uiPriority w:val="99"/>
    <w:unhideWhenUsed/>
    <w:rsid w:val="00274085"/>
    <w:pPr>
      <w:spacing w:line="240" w:lineRule="auto"/>
    </w:pPr>
    <w:rPr>
      <w:sz w:val="20"/>
      <w:szCs w:val="20"/>
    </w:rPr>
  </w:style>
  <w:style w:type="character" w:customStyle="1" w:styleId="CommentTextChar">
    <w:name w:val="Comment Text Char"/>
    <w:basedOn w:val="DefaultParagraphFont"/>
    <w:link w:val="CommentText"/>
    <w:uiPriority w:val="99"/>
    <w:rsid w:val="00274085"/>
    <w:rPr>
      <w:sz w:val="20"/>
      <w:szCs w:val="20"/>
    </w:rPr>
  </w:style>
  <w:style w:type="paragraph" w:styleId="CommentSubject">
    <w:name w:val="annotation subject"/>
    <w:basedOn w:val="CommentText"/>
    <w:next w:val="CommentText"/>
    <w:link w:val="CommentSubjectChar"/>
    <w:uiPriority w:val="99"/>
    <w:semiHidden/>
    <w:unhideWhenUsed/>
    <w:rsid w:val="00274085"/>
    <w:rPr>
      <w:b/>
      <w:bCs/>
    </w:rPr>
  </w:style>
  <w:style w:type="character" w:customStyle="1" w:styleId="CommentSubjectChar">
    <w:name w:val="Comment Subject Char"/>
    <w:basedOn w:val="CommentTextChar"/>
    <w:link w:val="CommentSubject"/>
    <w:uiPriority w:val="99"/>
    <w:semiHidden/>
    <w:rsid w:val="00274085"/>
    <w:rPr>
      <w:b/>
      <w:bCs/>
      <w:sz w:val="20"/>
      <w:szCs w:val="20"/>
    </w:rPr>
  </w:style>
  <w:style w:type="paragraph" w:styleId="Revision">
    <w:name w:val="Revision"/>
    <w:hidden/>
    <w:uiPriority w:val="99"/>
    <w:semiHidden/>
    <w:rsid w:val="00A63D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551421">
      <w:bodyDiv w:val="1"/>
      <w:marLeft w:val="0"/>
      <w:marRight w:val="0"/>
      <w:marTop w:val="0"/>
      <w:marBottom w:val="0"/>
      <w:divBdr>
        <w:top w:val="none" w:sz="0" w:space="0" w:color="auto"/>
        <w:left w:val="none" w:sz="0" w:space="0" w:color="auto"/>
        <w:bottom w:val="none" w:sz="0" w:space="0" w:color="auto"/>
        <w:right w:val="none" w:sz="0" w:space="0" w:color="auto"/>
      </w:divBdr>
    </w:div>
    <w:div w:id="145058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chart" Target="charts/chart2.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https://fairheatlimited.sharepoint.com/sites/06HIUTesting/Shared%20Documents/Technical%20Committee/Ratings/BESA%20HIU%20Test%20summary%20results%2011%20Jan%202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fairheatlimited.sharepoint.com/sites/06HIUTesting/Shared%20Documents/Technical%20Committee/Ratings/BESA%20HIU%20Test%20summary%20results%2011%20Jan%202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fairheatlimited.sharepoint.com/sites/06HIUTesting/Shared%20Documents/Technical%20Committee/Ratings/BESA%20HIU%20Test%20summary%20results%2011%20Jan%2021.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Histogram</a:t>
            </a:r>
            <a:r>
              <a:rPr lang="en-GB" baseline="0"/>
              <a:t>: Number of HIUs per Response Time bucket, Low Temperature Regime</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Sheet3!$B$3:$D$3</c:f>
              <c:strCache>
                <c:ptCount val="3"/>
                <c:pt idx="0">
                  <c:v>1-5</c:v>
                </c:pt>
                <c:pt idx="1">
                  <c:v>6-10</c:v>
                </c:pt>
                <c:pt idx="2">
                  <c:v>11-15</c:v>
                </c:pt>
              </c:strCache>
            </c:strRef>
          </c:cat>
          <c:val>
            <c:numRef>
              <c:f>Sheet3!$B$2:$D$2</c:f>
              <c:numCache>
                <c:formatCode>General</c:formatCode>
                <c:ptCount val="3"/>
                <c:pt idx="0">
                  <c:v>2</c:v>
                </c:pt>
                <c:pt idx="1">
                  <c:v>5</c:v>
                </c:pt>
                <c:pt idx="2">
                  <c:v>16</c:v>
                </c:pt>
              </c:numCache>
            </c:numRef>
          </c:val>
          <c:extLst>
            <c:ext xmlns:c16="http://schemas.microsoft.com/office/drawing/2014/chart" uri="{C3380CC4-5D6E-409C-BE32-E72D297353CC}">
              <c16:uniqueId val="{00000000-F545-4FAE-ACB2-631B66C2B80F}"/>
            </c:ext>
          </c:extLst>
        </c:ser>
        <c:ser>
          <c:idx val="1"/>
          <c:order val="1"/>
          <c:spPr>
            <a:solidFill>
              <a:schemeClr val="accent2"/>
            </a:solidFill>
            <a:ln>
              <a:noFill/>
            </a:ln>
            <a:effectLst/>
          </c:spPr>
          <c:invertIfNegative val="0"/>
          <c:cat>
            <c:strRef>
              <c:f>Sheet3!$B$3:$D$3</c:f>
              <c:strCache>
                <c:ptCount val="3"/>
                <c:pt idx="0">
                  <c:v>1-5</c:v>
                </c:pt>
                <c:pt idx="1">
                  <c:v>6-10</c:v>
                </c:pt>
                <c:pt idx="2">
                  <c:v>11-15</c:v>
                </c:pt>
              </c:strCache>
            </c:strRef>
          </c:cat>
          <c:val>
            <c:numRef>
              <c:f>Sheet3!$B$3:$D$3</c:f>
              <c:numCache>
                <c:formatCode>General</c:formatCode>
                <c:ptCount val="3"/>
                <c:pt idx="0">
                  <c:v>0</c:v>
                </c:pt>
                <c:pt idx="1">
                  <c:v>0</c:v>
                </c:pt>
                <c:pt idx="2">
                  <c:v>0</c:v>
                </c:pt>
              </c:numCache>
            </c:numRef>
          </c:val>
          <c:extLst>
            <c:ext xmlns:c16="http://schemas.microsoft.com/office/drawing/2014/chart" uri="{C3380CC4-5D6E-409C-BE32-E72D297353CC}">
              <c16:uniqueId val="{00000001-F545-4FAE-ACB2-631B66C2B80F}"/>
            </c:ext>
          </c:extLst>
        </c:ser>
        <c:dLbls>
          <c:showLegendKey val="0"/>
          <c:showVal val="0"/>
          <c:showCatName val="0"/>
          <c:showSerName val="0"/>
          <c:showPercent val="0"/>
          <c:showBubbleSize val="0"/>
        </c:dLbls>
        <c:gapWidth val="219"/>
        <c:axId val="511132623"/>
        <c:axId val="511129711"/>
      </c:barChart>
      <c:catAx>
        <c:axId val="51113262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Response</a:t>
                </a:r>
                <a:r>
                  <a:rPr lang="en-GB" baseline="0"/>
                  <a:t> time (sec)</a:t>
                </a:r>
                <a:endParaRPr lang="en-GB"/>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1129711"/>
        <c:crosses val="autoZero"/>
        <c:auto val="1"/>
        <c:lblAlgn val="ctr"/>
        <c:lblOffset val="100"/>
        <c:noMultiLvlLbl val="0"/>
      </c:catAx>
      <c:valAx>
        <c:axId val="51112971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Quantity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11326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Histogram:</a:t>
            </a:r>
            <a:r>
              <a:rPr lang="en-GB" baseline="0"/>
              <a:t> Number of HIUs per Response Time bucket, High Temperature Regime</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Sheet3!$J$3:$L$3</c:f>
              <c:strCache>
                <c:ptCount val="3"/>
                <c:pt idx="0">
                  <c:v>1-5</c:v>
                </c:pt>
                <c:pt idx="1">
                  <c:v>6-10</c:v>
                </c:pt>
                <c:pt idx="2">
                  <c:v>11-15</c:v>
                </c:pt>
              </c:strCache>
            </c:strRef>
          </c:cat>
          <c:val>
            <c:numRef>
              <c:f>Sheet3!$J$2:$L$2</c:f>
              <c:numCache>
                <c:formatCode>General</c:formatCode>
                <c:ptCount val="3"/>
                <c:pt idx="0">
                  <c:v>2</c:v>
                </c:pt>
                <c:pt idx="1">
                  <c:v>11</c:v>
                </c:pt>
                <c:pt idx="2">
                  <c:v>10</c:v>
                </c:pt>
              </c:numCache>
            </c:numRef>
          </c:val>
          <c:extLst>
            <c:ext xmlns:c16="http://schemas.microsoft.com/office/drawing/2014/chart" uri="{C3380CC4-5D6E-409C-BE32-E72D297353CC}">
              <c16:uniqueId val="{00000000-07D2-4B02-A139-C5F03F8271A9}"/>
            </c:ext>
          </c:extLst>
        </c:ser>
        <c:ser>
          <c:idx val="1"/>
          <c:order val="1"/>
          <c:spPr>
            <a:solidFill>
              <a:schemeClr val="accent2"/>
            </a:solidFill>
            <a:ln>
              <a:noFill/>
            </a:ln>
            <a:effectLst/>
          </c:spPr>
          <c:invertIfNegative val="0"/>
          <c:cat>
            <c:strRef>
              <c:f>Sheet3!$J$3:$L$3</c:f>
              <c:strCache>
                <c:ptCount val="3"/>
                <c:pt idx="0">
                  <c:v>1-5</c:v>
                </c:pt>
                <c:pt idx="1">
                  <c:v>6-10</c:v>
                </c:pt>
                <c:pt idx="2">
                  <c:v>11-15</c:v>
                </c:pt>
              </c:strCache>
            </c:strRef>
          </c:cat>
          <c:val>
            <c:numRef>
              <c:f>Sheet3!$J$3:$L$3</c:f>
              <c:numCache>
                <c:formatCode>General</c:formatCode>
                <c:ptCount val="3"/>
                <c:pt idx="0">
                  <c:v>0</c:v>
                </c:pt>
                <c:pt idx="1">
                  <c:v>0</c:v>
                </c:pt>
                <c:pt idx="2">
                  <c:v>0</c:v>
                </c:pt>
              </c:numCache>
            </c:numRef>
          </c:val>
          <c:extLst>
            <c:ext xmlns:c16="http://schemas.microsoft.com/office/drawing/2014/chart" uri="{C3380CC4-5D6E-409C-BE32-E72D297353CC}">
              <c16:uniqueId val="{00000001-07D2-4B02-A139-C5F03F8271A9}"/>
            </c:ext>
          </c:extLst>
        </c:ser>
        <c:dLbls>
          <c:showLegendKey val="0"/>
          <c:showVal val="0"/>
          <c:showCatName val="0"/>
          <c:showSerName val="0"/>
          <c:showPercent val="0"/>
          <c:showBubbleSize val="0"/>
        </c:dLbls>
        <c:gapWidth val="219"/>
        <c:overlap val="-27"/>
        <c:axId val="610574751"/>
        <c:axId val="610575167"/>
      </c:barChart>
      <c:catAx>
        <c:axId val="61057475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Response</a:t>
                </a:r>
                <a:r>
                  <a:rPr lang="en-GB" baseline="0"/>
                  <a:t> time (sec)</a:t>
                </a:r>
                <a:endParaRPr lang="en-GB"/>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0575167"/>
        <c:crosses val="autoZero"/>
        <c:auto val="1"/>
        <c:lblAlgn val="ctr"/>
        <c:lblOffset val="100"/>
        <c:noMultiLvlLbl val="0"/>
      </c:catAx>
      <c:valAx>
        <c:axId val="61057516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Quantity</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057475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KW</a:t>
            </a:r>
            <a:r>
              <a:rPr lang="en-GB" baseline="0"/>
              <a:t>VART vs DHW Response Time. Low Temperature Regime</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xVal>
            <c:numRef>
              <c:f>Sheet3!$A$30:$A$52</c:f>
              <c:numCache>
                <c:formatCode>General</c:formatCode>
                <c:ptCount val="23"/>
                <c:pt idx="0">
                  <c:v>13</c:v>
                </c:pt>
                <c:pt idx="1">
                  <c:v>12</c:v>
                </c:pt>
                <c:pt idx="2">
                  <c:v>15</c:v>
                </c:pt>
                <c:pt idx="3">
                  <c:v>4</c:v>
                </c:pt>
                <c:pt idx="4">
                  <c:v>6</c:v>
                </c:pt>
                <c:pt idx="5">
                  <c:v>15</c:v>
                </c:pt>
                <c:pt idx="6">
                  <c:v>13</c:v>
                </c:pt>
                <c:pt idx="7">
                  <c:v>9</c:v>
                </c:pt>
                <c:pt idx="8">
                  <c:v>8</c:v>
                </c:pt>
                <c:pt idx="9">
                  <c:v>15</c:v>
                </c:pt>
                <c:pt idx="10">
                  <c:v>15</c:v>
                </c:pt>
                <c:pt idx="11">
                  <c:v>15</c:v>
                </c:pt>
                <c:pt idx="12">
                  <c:v>3</c:v>
                </c:pt>
                <c:pt idx="13">
                  <c:v>15</c:v>
                </c:pt>
                <c:pt idx="14">
                  <c:v>14</c:v>
                </c:pt>
                <c:pt idx="15">
                  <c:v>11</c:v>
                </c:pt>
                <c:pt idx="16">
                  <c:v>11</c:v>
                </c:pt>
                <c:pt idx="17">
                  <c:v>9</c:v>
                </c:pt>
                <c:pt idx="18">
                  <c:v>14</c:v>
                </c:pt>
                <c:pt idx="19">
                  <c:v>11</c:v>
                </c:pt>
                <c:pt idx="20">
                  <c:v>7</c:v>
                </c:pt>
                <c:pt idx="21">
                  <c:v>11</c:v>
                </c:pt>
                <c:pt idx="22">
                  <c:v>15</c:v>
                </c:pt>
              </c:numCache>
            </c:numRef>
          </c:xVal>
          <c:yVal>
            <c:numRef>
              <c:f>Sheet3!$B$30:$B$52</c:f>
              <c:numCache>
                <c:formatCode>General</c:formatCode>
                <c:ptCount val="23"/>
                <c:pt idx="0">
                  <c:v>38.700000000000003</c:v>
                </c:pt>
                <c:pt idx="1">
                  <c:v>49.9</c:v>
                </c:pt>
                <c:pt idx="2">
                  <c:v>52.2</c:v>
                </c:pt>
                <c:pt idx="3">
                  <c:v>46.2</c:v>
                </c:pt>
                <c:pt idx="4">
                  <c:v>41</c:v>
                </c:pt>
                <c:pt idx="5">
                  <c:v>42</c:v>
                </c:pt>
                <c:pt idx="6">
                  <c:v>43</c:v>
                </c:pt>
                <c:pt idx="7">
                  <c:v>44</c:v>
                </c:pt>
                <c:pt idx="8">
                  <c:v>43</c:v>
                </c:pt>
                <c:pt idx="9">
                  <c:v>50</c:v>
                </c:pt>
                <c:pt idx="10">
                  <c:v>51</c:v>
                </c:pt>
                <c:pt idx="11">
                  <c:v>42</c:v>
                </c:pt>
                <c:pt idx="12">
                  <c:v>39</c:v>
                </c:pt>
                <c:pt idx="13">
                  <c:v>38</c:v>
                </c:pt>
                <c:pt idx="14">
                  <c:v>43</c:v>
                </c:pt>
                <c:pt idx="15">
                  <c:v>46</c:v>
                </c:pt>
                <c:pt idx="16">
                  <c:v>41</c:v>
                </c:pt>
                <c:pt idx="17">
                  <c:v>42</c:v>
                </c:pt>
                <c:pt idx="18">
                  <c:v>41</c:v>
                </c:pt>
                <c:pt idx="19">
                  <c:v>48</c:v>
                </c:pt>
                <c:pt idx="20">
                  <c:v>45</c:v>
                </c:pt>
                <c:pt idx="21">
                  <c:v>39</c:v>
                </c:pt>
                <c:pt idx="22">
                  <c:v>44</c:v>
                </c:pt>
              </c:numCache>
            </c:numRef>
          </c:yVal>
          <c:smooth val="0"/>
          <c:extLst>
            <c:ext xmlns:c16="http://schemas.microsoft.com/office/drawing/2014/chart" uri="{C3380CC4-5D6E-409C-BE32-E72D297353CC}">
              <c16:uniqueId val="{00000000-3992-4B44-90B3-66A6FEA67E23}"/>
            </c:ext>
          </c:extLst>
        </c:ser>
        <c:dLbls>
          <c:showLegendKey val="0"/>
          <c:showVal val="0"/>
          <c:showCatName val="0"/>
          <c:showSerName val="0"/>
          <c:showPercent val="0"/>
          <c:showBubbleSize val="0"/>
        </c:dLbls>
        <c:axId val="1096628383"/>
        <c:axId val="1096628799"/>
      </c:scatterChart>
      <c:valAx>
        <c:axId val="1096628383"/>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Response</a:t>
                </a:r>
                <a:r>
                  <a:rPr lang="en-GB" baseline="0"/>
                  <a:t> Time (Secs)</a:t>
                </a:r>
                <a:endParaRPr lang="en-GB"/>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96628799"/>
        <c:crosses val="autoZero"/>
        <c:crossBetween val="midCat"/>
      </c:valAx>
      <c:valAx>
        <c:axId val="1096628799"/>
        <c:scaling>
          <c:orientation val="minMax"/>
          <c:min val="3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kW VWART</a:t>
                </a:r>
                <a:r>
                  <a:rPr lang="en-GB" baseline="0"/>
                  <a:t> (deg C)</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96628383"/>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0BB998-D392-4FF7-A4CA-FEBA81566442}"/>
</file>

<file path=customXml/itemProps2.xml><?xml version="1.0" encoding="utf-8"?>
<ds:datastoreItem xmlns:ds="http://schemas.openxmlformats.org/officeDocument/2006/customXml" ds:itemID="{C1B3AAFC-9F62-479E-8323-5DF2FB0BC6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ACE809-DF8C-446C-BBAE-677C118DCD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1371</Words>
  <Characters>7818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GJ</dc:creator>
  <cp:lastModifiedBy>Freddie Valletta</cp:lastModifiedBy>
  <cp:revision>4</cp:revision>
  <cp:lastPrinted>2019-01-11T16:22:00Z</cp:lastPrinted>
  <dcterms:created xsi:type="dcterms:W3CDTF">2022-04-26T08:23:00Z</dcterms:created>
  <dcterms:modified xsi:type="dcterms:W3CDTF">2022-05-04T13:59:00Z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