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D8B22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6C46B900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18641A6E" w14:textId="361F5D30" w:rsidR="00DC7A9D" w:rsidRPr="0068185E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522F935" wp14:editId="09BF4ED2">
            <wp:simplePos x="0" y="0"/>
            <wp:positionH relativeFrom="margin">
              <wp:posOffset>0</wp:posOffset>
            </wp:positionH>
            <wp:positionV relativeFrom="page">
              <wp:posOffset>629920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0"/>
        <w:gridCol w:w="2331"/>
        <w:gridCol w:w="1146"/>
        <w:gridCol w:w="1185"/>
        <w:gridCol w:w="2331"/>
      </w:tblGrid>
      <w:tr w:rsidR="00017C28" w:rsidRPr="0068185E" w14:paraId="286F7613" w14:textId="7C25DBED" w:rsidTr="00017C28">
        <w:tc>
          <w:tcPr>
            <w:tcW w:w="5807" w:type="dxa"/>
            <w:gridSpan w:val="3"/>
          </w:tcPr>
          <w:p w14:paraId="099807CA" w14:textId="4F8BDB60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Technical Note</w:t>
            </w:r>
          </w:p>
        </w:tc>
        <w:tc>
          <w:tcPr>
            <w:tcW w:w="3516" w:type="dxa"/>
            <w:gridSpan w:val="2"/>
          </w:tcPr>
          <w:p w14:paraId="53730896" w14:textId="4E2F5F14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TN</w:t>
            </w:r>
            <w:r w:rsidR="00701A1C" w:rsidRPr="0068185E">
              <w:rPr>
                <w:rFonts w:cstheme="minorHAnsi"/>
                <w:b/>
                <w:sz w:val="32"/>
                <w:szCs w:val="36"/>
              </w:rPr>
              <w:t>-</w:t>
            </w:r>
            <w:r w:rsidR="00FB4657">
              <w:rPr>
                <w:rFonts w:cstheme="minorHAnsi"/>
                <w:b/>
                <w:sz w:val="32"/>
                <w:szCs w:val="36"/>
              </w:rPr>
              <w:t>011</w:t>
            </w:r>
          </w:p>
        </w:tc>
      </w:tr>
      <w:tr w:rsidR="00017C28" w:rsidRPr="0068185E" w14:paraId="3F21FD0F" w14:textId="7F1D3522" w:rsidTr="00017C28">
        <w:tc>
          <w:tcPr>
            <w:tcW w:w="5807" w:type="dxa"/>
            <w:gridSpan w:val="3"/>
          </w:tcPr>
          <w:p w14:paraId="06ECA27B" w14:textId="51D3250D" w:rsidR="00017C28" w:rsidRPr="0068185E" w:rsidRDefault="008B2DCF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D56B55">
              <w:rPr>
                <w:rFonts w:cstheme="minorHAnsi"/>
                <w:sz w:val="22"/>
                <w:szCs w:val="22"/>
              </w:rPr>
              <w:t>Low domestic hot water flow rate</w:t>
            </w:r>
          </w:p>
        </w:tc>
        <w:tc>
          <w:tcPr>
            <w:tcW w:w="3516" w:type="dxa"/>
            <w:gridSpan w:val="2"/>
          </w:tcPr>
          <w:p w14:paraId="1E8C66F8" w14:textId="1A6A62A5" w:rsidR="00017C28" w:rsidRPr="0068185E" w:rsidRDefault="00AD7C39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 no.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4F5FBD">
              <w:rPr>
                <w:rFonts w:cstheme="minorHAnsi"/>
                <w:sz w:val="22"/>
                <w:szCs w:val="22"/>
              </w:rPr>
              <w:t>3a, 3b</w:t>
            </w:r>
          </w:p>
        </w:tc>
      </w:tr>
      <w:tr w:rsidR="003C1C3F" w:rsidRPr="0068185E" w14:paraId="718C8716" w14:textId="77777777" w:rsidTr="00017C28">
        <w:tc>
          <w:tcPr>
            <w:tcW w:w="5807" w:type="dxa"/>
            <w:gridSpan w:val="3"/>
          </w:tcPr>
          <w:p w14:paraId="636F8EFF" w14:textId="7DD18069" w:rsidR="003C1C3F" w:rsidRPr="0068185E" w:rsidRDefault="003C1C3F" w:rsidP="00F43A5F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0C2F63" w:rsidRPr="000C2F63">
              <w:rPr>
                <w:rFonts w:cstheme="minorHAnsi"/>
                <w:bCs/>
                <w:sz w:val="22"/>
                <w:szCs w:val="22"/>
              </w:rPr>
              <w:t>Domestic hot water flow rate</w:t>
            </w:r>
          </w:p>
        </w:tc>
        <w:tc>
          <w:tcPr>
            <w:tcW w:w="3516" w:type="dxa"/>
            <w:gridSpan w:val="2"/>
          </w:tcPr>
          <w:p w14:paraId="49CDA700" w14:textId="54F7DA21" w:rsidR="003C1C3F" w:rsidRPr="0068185E" w:rsidRDefault="003C1C3F" w:rsidP="00F43A5F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</w:t>
            </w:r>
            <w:r>
              <w:rPr>
                <w:rFonts w:cstheme="minorHAnsi"/>
                <w:b/>
                <w:sz w:val="22"/>
                <w:szCs w:val="22"/>
              </w:rPr>
              <w:t xml:space="preserve"> no: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0C2F63">
              <w:rPr>
                <w:rFonts w:cstheme="minorHAnsi"/>
                <w:b/>
                <w:sz w:val="22"/>
                <w:szCs w:val="22"/>
              </w:rPr>
              <w:t>22</w:t>
            </w:r>
          </w:p>
        </w:tc>
      </w:tr>
      <w:tr w:rsidR="00017C28" w:rsidRPr="0068185E" w14:paraId="654BFA1A" w14:textId="37D4D373" w:rsidTr="0082663B">
        <w:tc>
          <w:tcPr>
            <w:tcW w:w="2330" w:type="dxa"/>
          </w:tcPr>
          <w:p w14:paraId="1412685A" w14:textId="0FE02109" w:rsidR="00017C28" w:rsidRPr="00FF1F10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Rev:</w:t>
            </w:r>
            <w:r w:rsidR="000C2F63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0C2F63" w:rsidRPr="000C2F63">
              <w:rPr>
                <w:rFonts w:cstheme="minorHAnsi"/>
                <w:bCs/>
                <w:sz w:val="22"/>
                <w:szCs w:val="22"/>
              </w:rPr>
              <w:t>01</w:t>
            </w:r>
          </w:p>
        </w:tc>
        <w:tc>
          <w:tcPr>
            <w:tcW w:w="2331" w:type="dxa"/>
          </w:tcPr>
          <w:p w14:paraId="213A08F5" w14:textId="09F5C3A4" w:rsidR="00F43A5F" w:rsidRPr="00FF1F10" w:rsidRDefault="00017C28" w:rsidP="00F43A5F">
            <w:pPr>
              <w:spacing w:before="120" w:after="120" w:line="276" w:lineRule="auto"/>
              <w:rPr>
                <w:rFonts w:cstheme="minorHAnsi"/>
                <w:bCs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Date: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E11975">
              <w:rPr>
                <w:rFonts w:cstheme="minorHAnsi"/>
                <w:bCs/>
                <w:sz w:val="22"/>
                <w:szCs w:val="22"/>
              </w:rPr>
              <w:t>20</w:t>
            </w:r>
            <w:r w:rsidR="000C2F63" w:rsidRPr="000C2F63">
              <w:rPr>
                <w:rFonts w:cstheme="minorHAnsi"/>
                <w:bCs/>
                <w:sz w:val="22"/>
                <w:szCs w:val="22"/>
              </w:rPr>
              <w:t>/09/2020</w:t>
            </w:r>
          </w:p>
        </w:tc>
        <w:tc>
          <w:tcPr>
            <w:tcW w:w="2331" w:type="dxa"/>
            <w:gridSpan w:val="2"/>
          </w:tcPr>
          <w:p w14:paraId="4A7664B0" w14:textId="4CA41ECD" w:rsidR="00F43A5F" w:rsidRPr="00FF1F10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Author:</w:t>
            </w:r>
            <w:r w:rsidR="00102BEB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0C2F63" w:rsidRPr="000C2F63">
              <w:rPr>
                <w:rFonts w:cstheme="minorHAnsi"/>
                <w:bCs/>
                <w:sz w:val="22"/>
                <w:szCs w:val="22"/>
              </w:rPr>
              <w:t>Gareth Jones</w:t>
            </w:r>
          </w:p>
        </w:tc>
        <w:tc>
          <w:tcPr>
            <w:tcW w:w="2331" w:type="dxa"/>
          </w:tcPr>
          <w:p w14:paraId="7AC0C514" w14:textId="22D2A7C0" w:rsidR="00F43A5F" w:rsidRPr="00FF1F10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Checked:</w:t>
            </w:r>
            <w:r w:rsidR="00FF1F10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804644" w:rsidRPr="00804644">
              <w:rPr>
                <w:rFonts w:cstheme="minorHAnsi"/>
                <w:bCs/>
                <w:sz w:val="22"/>
                <w:szCs w:val="22"/>
              </w:rPr>
              <w:t>Martin Crane</w:t>
            </w:r>
          </w:p>
        </w:tc>
      </w:tr>
    </w:tbl>
    <w:p w14:paraId="037C94D1" w14:textId="7D801694" w:rsidR="00A75691" w:rsidRPr="0068185E" w:rsidRDefault="00F43A5F" w:rsidP="00A75691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Toc514342241"/>
      <w:r w:rsidRPr="0068185E">
        <w:rPr>
          <w:rFonts w:asciiTheme="minorHAnsi" w:hAnsiTheme="minorHAnsi" w:cstheme="minorHAnsi"/>
          <w:b/>
          <w:bCs/>
          <w:sz w:val="22"/>
          <w:szCs w:val="22"/>
        </w:rPr>
        <w:t>Introduction</w:t>
      </w:r>
      <w:bookmarkEnd w:id="0"/>
    </w:p>
    <w:p w14:paraId="0B9532FC" w14:textId="169F36F6" w:rsidR="008E14F1" w:rsidRDefault="002415DA" w:rsidP="00ED5C0C">
      <w:pPr>
        <w:spacing w:before="240" w:after="120"/>
        <w:jc w:val="both"/>
        <w:rPr>
          <w:rFonts w:cstheme="minorHAnsi"/>
        </w:rPr>
      </w:pPr>
      <w:r>
        <w:rPr>
          <w:rFonts w:cstheme="minorHAnsi"/>
        </w:rPr>
        <w:t>The objective of this test is to</w:t>
      </w:r>
      <w:r w:rsidR="008E14F1" w:rsidRPr="00ED5C0C">
        <w:rPr>
          <w:rFonts w:cstheme="minorHAnsi"/>
        </w:rPr>
        <w:t xml:space="preserve"> investigate the stability of DHW temperature at low flow rates.</w:t>
      </w:r>
      <w:r w:rsidR="00ED5C0C">
        <w:rPr>
          <w:rFonts w:cstheme="minorHAnsi"/>
        </w:rPr>
        <w:t xml:space="preserve"> </w:t>
      </w:r>
      <w:r w:rsidR="008E14F1" w:rsidRPr="00ED5C0C">
        <w:rPr>
          <w:rFonts w:cstheme="minorHAnsi"/>
        </w:rPr>
        <w:t>During operation, domestic hot water is sometimes drawn-off at extremely low</w:t>
      </w:r>
      <w:r w:rsidR="00ED5C0C">
        <w:rPr>
          <w:rFonts w:cstheme="minorHAnsi"/>
        </w:rPr>
        <w:t xml:space="preserve"> </w:t>
      </w:r>
      <w:r w:rsidR="008E14F1" w:rsidRPr="00ED5C0C">
        <w:rPr>
          <w:rFonts w:cstheme="minorHAnsi"/>
        </w:rPr>
        <w:t>flow rates. Test 3 investigates the ability of the system to meet this condition by measuring the temperature at test point t32 at a flow rate of 0.02 l/s.</w:t>
      </w:r>
    </w:p>
    <w:p w14:paraId="1E25C209" w14:textId="77777777" w:rsidR="00DB4897" w:rsidRDefault="009C221B" w:rsidP="00965789">
      <w:pPr>
        <w:spacing w:before="240" w:after="120"/>
        <w:jc w:val="both"/>
        <w:rPr>
          <w:rFonts w:cstheme="minorHAnsi"/>
        </w:rPr>
      </w:pPr>
      <w:r>
        <w:rPr>
          <w:rFonts w:cstheme="minorHAnsi"/>
        </w:rPr>
        <w:t xml:space="preserve">This test was </w:t>
      </w:r>
      <w:r w:rsidR="00D2238E">
        <w:rPr>
          <w:rFonts w:cstheme="minorHAnsi"/>
        </w:rPr>
        <w:t xml:space="preserve">included from the Swedish </w:t>
      </w:r>
      <w:r w:rsidR="00D2238E" w:rsidRPr="00ED5C0C">
        <w:rPr>
          <w:rFonts w:cstheme="minorHAnsi"/>
        </w:rPr>
        <w:t>F:103-7</w:t>
      </w:r>
      <w:r w:rsidR="00D2238E">
        <w:rPr>
          <w:rFonts w:cstheme="minorHAnsi"/>
        </w:rPr>
        <w:t xml:space="preserve"> test and has been in the test regime since the </w:t>
      </w:r>
      <w:r w:rsidR="002415DA">
        <w:rPr>
          <w:rFonts w:cstheme="minorHAnsi"/>
        </w:rPr>
        <w:t>original SBRI funded test</w:t>
      </w:r>
      <w:r w:rsidR="00DB4897">
        <w:rPr>
          <w:rFonts w:cstheme="minorHAnsi"/>
        </w:rPr>
        <w:t xml:space="preserve"> regime. </w:t>
      </w:r>
      <w:r w:rsidR="00965789" w:rsidRPr="00ED5C0C">
        <w:rPr>
          <w:rFonts w:cstheme="minorHAnsi"/>
        </w:rPr>
        <w:t>A key driver for this low flow rate test in the Swedish test is safety.  In Sweden F:103-7 testing is done at primary flow temperature of both 100</w:t>
      </w:r>
      <w:r w:rsidR="00965789">
        <w:rPr>
          <w:rFonts w:ascii="Trebuchet MS" w:hAnsi="Trebuchet MS" w:cstheme="minorHAnsi"/>
        </w:rPr>
        <w:t>°</w:t>
      </w:r>
      <w:r w:rsidR="00965789" w:rsidRPr="00ED5C0C">
        <w:rPr>
          <w:rFonts w:cstheme="minorHAnsi"/>
        </w:rPr>
        <w:t>C and 60</w:t>
      </w:r>
      <w:r w:rsidR="00965789">
        <w:rPr>
          <w:rFonts w:ascii="Trebuchet MS" w:hAnsi="Trebuchet MS" w:cstheme="minorHAnsi"/>
        </w:rPr>
        <w:t>°</w:t>
      </w:r>
      <w:r w:rsidR="00965789" w:rsidRPr="00ED5C0C">
        <w:rPr>
          <w:rFonts w:cstheme="minorHAnsi"/>
        </w:rPr>
        <w:t xml:space="preserve">C. Good substation control is </w:t>
      </w:r>
      <w:r w:rsidR="00965789">
        <w:rPr>
          <w:rFonts w:cstheme="minorHAnsi"/>
        </w:rPr>
        <w:t>required</w:t>
      </w:r>
      <w:r w:rsidR="00965789" w:rsidRPr="00ED5C0C">
        <w:rPr>
          <w:rFonts w:cstheme="minorHAnsi"/>
        </w:rPr>
        <w:t xml:space="preserve"> to ensure </w:t>
      </w:r>
      <w:r w:rsidR="00965789">
        <w:rPr>
          <w:rFonts w:cstheme="minorHAnsi"/>
        </w:rPr>
        <w:t>that, during low DHW flow rates, very high</w:t>
      </w:r>
      <w:r w:rsidR="00965789" w:rsidRPr="00ED5C0C">
        <w:rPr>
          <w:rFonts w:cstheme="minorHAnsi"/>
        </w:rPr>
        <w:t xml:space="preserve"> DHW </w:t>
      </w:r>
      <w:r w:rsidR="00965789">
        <w:rPr>
          <w:rFonts w:cstheme="minorHAnsi"/>
        </w:rPr>
        <w:t>temperatures are</w:t>
      </w:r>
      <w:r w:rsidR="00965789" w:rsidRPr="00ED5C0C">
        <w:rPr>
          <w:rFonts w:cstheme="minorHAnsi"/>
        </w:rPr>
        <w:t xml:space="preserve"> not produced at the tap causing serious burns.  </w:t>
      </w:r>
    </w:p>
    <w:p w14:paraId="225365D1" w14:textId="7CDE3C53" w:rsidR="00965789" w:rsidRDefault="006821D1" w:rsidP="00965789">
      <w:pPr>
        <w:spacing w:before="240" w:after="120"/>
        <w:jc w:val="both"/>
        <w:rPr>
          <w:rFonts w:cstheme="minorHAnsi"/>
        </w:rPr>
      </w:pPr>
      <w:r>
        <w:rPr>
          <w:rFonts w:cstheme="minorHAnsi"/>
        </w:rPr>
        <w:t>An additional</w:t>
      </w:r>
      <w:r w:rsidR="00FB5907">
        <w:rPr>
          <w:rFonts w:cstheme="minorHAnsi"/>
        </w:rPr>
        <w:t xml:space="preserve"> driver for this test is as</w:t>
      </w:r>
      <w:r w:rsidR="00965789" w:rsidRPr="00ED5C0C">
        <w:rPr>
          <w:rFonts w:cstheme="minorHAnsi"/>
        </w:rPr>
        <w:t xml:space="preserve"> a measure for resident comfort, especially given low flow rates from outlets on new build.</w:t>
      </w:r>
      <w:r w:rsidR="00FB5907">
        <w:rPr>
          <w:rFonts w:cstheme="minorHAnsi"/>
        </w:rPr>
        <w:t xml:space="preserve"> The inability to deliver </w:t>
      </w:r>
      <w:r w:rsidR="00E07F37">
        <w:rPr>
          <w:rFonts w:cstheme="minorHAnsi"/>
        </w:rPr>
        <w:t xml:space="preserve">hot water from HIUs has been cited as a source of complaints from </w:t>
      </w:r>
      <w:r w:rsidR="00434A7B">
        <w:rPr>
          <w:rFonts w:cstheme="minorHAnsi"/>
        </w:rPr>
        <w:t>residents on heat networks where HIUs are not able to DHW at low flow rates.</w:t>
      </w:r>
    </w:p>
    <w:p w14:paraId="76C964FE" w14:textId="3E83718F" w:rsidR="00C714AA" w:rsidRDefault="003D6D7C" w:rsidP="00ED5C0C">
      <w:pPr>
        <w:spacing w:before="240" w:after="120"/>
        <w:jc w:val="both"/>
        <w:rPr>
          <w:rFonts w:cstheme="minorHAnsi"/>
        </w:rPr>
      </w:pPr>
      <w:r>
        <w:rPr>
          <w:rFonts w:cstheme="minorHAnsi"/>
        </w:rPr>
        <w:t>In releasing the latest</w:t>
      </w:r>
      <w:r w:rsidR="0003723D">
        <w:rPr>
          <w:rFonts w:cstheme="minorHAnsi"/>
        </w:rPr>
        <w:t xml:space="preserve"> (Rev-009)</w:t>
      </w:r>
      <w:r>
        <w:rPr>
          <w:rFonts w:cstheme="minorHAnsi"/>
        </w:rPr>
        <w:t xml:space="preserve"> version of the </w:t>
      </w:r>
      <w:r w:rsidR="0003723D">
        <w:rPr>
          <w:rFonts w:cstheme="minorHAnsi"/>
        </w:rPr>
        <w:t xml:space="preserve">test regime, a compromise position was reached, </w:t>
      </w:r>
      <w:r w:rsidR="00E13568">
        <w:rPr>
          <w:rFonts w:cstheme="minorHAnsi"/>
        </w:rPr>
        <w:t>based on</w:t>
      </w:r>
      <w:r w:rsidR="0003723D">
        <w:rPr>
          <w:rFonts w:cstheme="minorHAnsi"/>
        </w:rPr>
        <w:t xml:space="preserve"> HIU manufacturer </w:t>
      </w:r>
      <w:r w:rsidR="00E13568">
        <w:rPr>
          <w:rFonts w:cstheme="minorHAnsi"/>
        </w:rPr>
        <w:t xml:space="preserve">feedback. In cases where the </w:t>
      </w:r>
      <w:r w:rsidR="000521C4">
        <w:rPr>
          <w:rFonts w:cstheme="minorHAnsi"/>
        </w:rPr>
        <w:t xml:space="preserve">stated </w:t>
      </w:r>
      <w:r w:rsidR="00E13568">
        <w:rPr>
          <w:rFonts w:cstheme="minorHAnsi"/>
        </w:rPr>
        <w:t xml:space="preserve">manufacturer </w:t>
      </w:r>
      <w:r w:rsidR="000521C4">
        <w:rPr>
          <w:rFonts w:cstheme="minorHAnsi"/>
        </w:rPr>
        <w:t xml:space="preserve">minimum flow rate is above 0.02 l/s, then the </w:t>
      </w:r>
      <w:r w:rsidR="007D2ED7">
        <w:rPr>
          <w:rFonts w:cstheme="minorHAnsi"/>
        </w:rPr>
        <w:t>manufacturer has the option of testing at both the 0.02 l/s flow rate and the stated minimum flow rate, with both sets of results to be published.</w:t>
      </w:r>
      <w:r w:rsidR="00FC3879">
        <w:rPr>
          <w:rFonts w:cstheme="minorHAnsi"/>
        </w:rPr>
        <w:t xml:space="preserve"> In this case, the H&amp;S requirements (maximum DHW flow temperature) must be met</w:t>
      </w:r>
      <w:r w:rsidR="001D1ED1">
        <w:rPr>
          <w:rFonts w:cstheme="minorHAnsi"/>
        </w:rPr>
        <w:t xml:space="preserve"> in both cases, otherwise the unit will fail and cannot be registered. However, </w:t>
      </w:r>
      <w:r w:rsidR="002932C6">
        <w:rPr>
          <w:rFonts w:cstheme="minorHAnsi"/>
        </w:rPr>
        <w:t xml:space="preserve">inability to meet temperature stability requirements at the 0.02 l/s flow rate (or indeed, inability to generate DHW) </w:t>
      </w:r>
      <w:r w:rsidR="001F6972">
        <w:rPr>
          <w:rFonts w:cstheme="minorHAnsi"/>
        </w:rPr>
        <w:t>is not taken as a failure of the test.</w:t>
      </w:r>
    </w:p>
    <w:p w14:paraId="53A85EC1" w14:textId="5C83B22A" w:rsidR="001F6972" w:rsidRPr="00ED5C0C" w:rsidRDefault="001F6972" w:rsidP="00ED5C0C">
      <w:pPr>
        <w:spacing w:before="240" w:after="120"/>
        <w:jc w:val="both"/>
        <w:rPr>
          <w:rFonts w:cstheme="minorHAnsi"/>
        </w:rPr>
      </w:pPr>
      <w:r>
        <w:rPr>
          <w:rFonts w:cstheme="minorHAnsi"/>
        </w:rPr>
        <w:t xml:space="preserve">This technical note considers whether </w:t>
      </w:r>
      <w:r w:rsidR="005123C5">
        <w:rPr>
          <w:rFonts w:cstheme="minorHAnsi"/>
        </w:rPr>
        <w:t>0.02 l/s is an appropriate flow rate for the</w:t>
      </w:r>
      <w:r w:rsidR="00E11975">
        <w:rPr>
          <w:rFonts w:cstheme="minorHAnsi"/>
        </w:rPr>
        <w:t xml:space="preserve"> low flow rate</w:t>
      </w:r>
      <w:r w:rsidR="005123C5">
        <w:rPr>
          <w:rFonts w:cstheme="minorHAnsi"/>
        </w:rPr>
        <w:t xml:space="preserve"> test.</w:t>
      </w:r>
    </w:p>
    <w:p w14:paraId="2B8D885E" w14:textId="1290C865" w:rsidR="003F5621" w:rsidRPr="000A7603" w:rsidRDefault="003F027B" w:rsidP="00D96754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0A7603">
        <w:rPr>
          <w:rFonts w:asciiTheme="minorHAnsi" w:hAnsiTheme="minorHAnsi" w:cstheme="minorHAnsi"/>
          <w:b/>
          <w:bCs/>
          <w:sz w:val="22"/>
          <w:szCs w:val="22"/>
        </w:rPr>
        <w:t xml:space="preserve">Consideration </w:t>
      </w:r>
      <w:r w:rsidR="00E21EFC">
        <w:rPr>
          <w:rFonts w:asciiTheme="minorHAnsi" w:hAnsiTheme="minorHAnsi" w:cstheme="minorHAnsi"/>
          <w:b/>
          <w:bCs/>
          <w:sz w:val="22"/>
          <w:szCs w:val="22"/>
        </w:rPr>
        <w:t>1: Minimum flow rates for Gas Boilers</w:t>
      </w:r>
    </w:p>
    <w:p w14:paraId="3F428188" w14:textId="70614AF9" w:rsidR="00E86173" w:rsidRPr="00186D13" w:rsidRDefault="009632B4" w:rsidP="000A7603">
      <w:pPr>
        <w:spacing w:before="240" w:after="120"/>
        <w:jc w:val="both"/>
        <w:rPr>
          <w:rFonts w:cstheme="minorHAnsi"/>
          <w:lang w:val="en-GB"/>
        </w:rPr>
      </w:pPr>
      <w:r w:rsidRPr="00186D13">
        <w:rPr>
          <w:rFonts w:cstheme="minorHAnsi"/>
          <w:lang w:val="en-GB"/>
        </w:rPr>
        <w:t>Domestic g</w:t>
      </w:r>
      <w:r w:rsidR="00F52993" w:rsidRPr="00186D13">
        <w:rPr>
          <w:rFonts w:cstheme="minorHAnsi"/>
          <w:lang w:val="en-GB"/>
        </w:rPr>
        <w:t>as boilers</w:t>
      </w:r>
      <w:r w:rsidRPr="00186D13">
        <w:rPr>
          <w:rFonts w:cstheme="minorHAnsi"/>
          <w:lang w:val="en-GB"/>
        </w:rPr>
        <w:t xml:space="preserve"> (&lt;70kW) typically have</w:t>
      </w:r>
      <w:r w:rsidR="00F52993" w:rsidRPr="00186D13">
        <w:rPr>
          <w:rFonts w:cstheme="minorHAnsi"/>
          <w:lang w:val="en-GB"/>
        </w:rPr>
        <w:t xml:space="preserve"> </w:t>
      </w:r>
      <w:r w:rsidR="007E47CF" w:rsidRPr="00186D13">
        <w:rPr>
          <w:rFonts w:cstheme="minorHAnsi"/>
          <w:lang w:val="en-GB"/>
        </w:rPr>
        <w:t xml:space="preserve">minimum flow rates that are significantly higher than 0.02 </w:t>
      </w:r>
      <w:r w:rsidR="00E643A5" w:rsidRPr="00186D13">
        <w:rPr>
          <w:rFonts w:cstheme="minorHAnsi"/>
          <w:lang w:val="en-GB"/>
        </w:rPr>
        <w:t>l/s</w:t>
      </w:r>
      <w:r w:rsidR="009D1F8E" w:rsidRPr="00186D13">
        <w:rPr>
          <w:rFonts w:cstheme="minorHAnsi"/>
          <w:lang w:val="en-GB"/>
        </w:rPr>
        <w:t xml:space="preserve"> and </w:t>
      </w:r>
      <w:r w:rsidR="00035C07" w:rsidRPr="00186D13">
        <w:rPr>
          <w:rFonts w:cstheme="minorHAnsi"/>
          <w:lang w:val="en-GB"/>
        </w:rPr>
        <w:t xml:space="preserve">tests for </w:t>
      </w:r>
      <w:r w:rsidR="005E6C37" w:rsidRPr="00186D13">
        <w:rPr>
          <w:rFonts w:cstheme="minorHAnsi"/>
          <w:lang w:val="en-GB"/>
        </w:rPr>
        <w:t>gas boilers a</w:t>
      </w:r>
      <w:r w:rsidR="00035C07" w:rsidRPr="00186D13">
        <w:rPr>
          <w:rFonts w:cstheme="minorHAnsi"/>
          <w:lang w:val="en-GB"/>
        </w:rPr>
        <w:t>re conducted at higher minimum flow rates.</w:t>
      </w:r>
    </w:p>
    <w:p w14:paraId="5F86288B" w14:textId="629E9807" w:rsidR="00035C07" w:rsidRPr="009D1C27" w:rsidRDefault="00035C07" w:rsidP="000A7603">
      <w:pPr>
        <w:spacing w:before="240" w:after="120"/>
        <w:jc w:val="both"/>
        <w:rPr>
          <w:rFonts w:cstheme="minorHAnsi"/>
          <w:i/>
          <w:iCs/>
          <w:lang w:val="en-GB"/>
        </w:rPr>
      </w:pPr>
      <w:r w:rsidRPr="009D1C27">
        <w:rPr>
          <w:rFonts w:cstheme="minorHAnsi"/>
          <w:i/>
          <w:iCs/>
          <w:lang w:val="en-GB"/>
        </w:rPr>
        <w:t>Note: reference flow rates required.</w:t>
      </w:r>
    </w:p>
    <w:p w14:paraId="6511E094" w14:textId="4E9C2BE1" w:rsidR="00E86173" w:rsidRPr="00186D13" w:rsidRDefault="00E86173" w:rsidP="000A7603">
      <w:pPr>
        <w:spacing w:before="240" w:after="120"/>
        <w:jc w:val="both"/>
        <w:rPr>
          <w:rFonts w:cstheme="minorHAnsi"/>
        </w:rPr>
      </w:pPr>
      <w:r w:rsidRPr="00186D13">
        <w:rPr>
          <w:rFonts w:cstheme="minorHAnsi"/>
        </w:rPr>
        <w:lastRenderedPageBreak/>
        <w:t>BS EN 625:1996</w:t>
      </w:r>
    </w:p>
    <w:p w14:paraId="584C257D" w14:textId="3ABEB44C" w:rsidR="005E6C37" w:rsidRPr="00186D13" w:rsidRDefault="005E6C37" w:rsidP="000A7603">
      <w:pPr>
        <w:spacing w:before="240" w:after="120"/>
        <w:jc w:val="both"/>
        <w:rPr>
          <w:rFonts w:cstheme="minorHAnsi"/>
          <w:lang w:val="en-GB"/>
        </w:rPr>
      </w:pPr>
      <w:r w:rsidRPr="00186D13">
        <w:rPr>
          <w:rFonts w:cstheme="minorHAnsi"/>
        </w:rPr>
        <w:t>BS EN 677:1998</w:t>
      </w:r>
    </w:p>
    <w:p w14:paraId="39BA7C57" w14:textId="2BB54C1A" w:rsidR="007E47CF" w:rsidRPr="00186D13" w:rsidRDefault="00035C07" w:rsidP="000A7603">
      <w:pPr>
        <w:spacing w:before="240" w:after="120"/>
        <w:jc w:val="both"/>
        <w:rPr>
          <w:rFonts w:cstheme="minorHAnsi"/>
          <w:lang w:val="en-GB"/>
        </w:rPr>
      </w:pPr>
      <w:r w:rsidRPr="00186D13">
        <w:rPr>
          <w:rFonts w:cstheme="minorHAnsi"/>
          <w:lang w:val="en-GB"/>
        </w:rPr>
        <w:t>In the past, t</w:t>
      </w:r>
      <w:r w:rsidR="00E643A5" w:rsidRPr="00186D13">
        <w:rPr>
          <w:rFonts w:cstheme="minorHAnsi"/>
          <w:lang w:val="en-GB"/>
        </w:rPr>
        <w:t xml:space="preserve">his has been </w:t>
      </w:r>
      <w:r w:rsidRPr="00186D13">
        <w:rPr>
          <w:rFonts w:cstheme="minorHAnsi"/>
          <w:lang w:val="en-GB"/>
        </w:rPr>
        <w:t>proposed as an argument for testing HIUs at a higher minimum flow rate.</w:t>
      </w:r>
    </w:p>
    <w:p w14:paraId="65354029" w14:textId="6F30BDCE" w:rsidR="00035C07" w:rsidRPr="00186D13" w:rsidRDefault="00035C07" w:rsidP="000A7603">
      <w:pPr>
        <w:spacing w:before="240" w:after="120"/>
        <w:jc w:val="both"/>
        <w:rPr>
          <w:rFonts w:cstheme="minorHAnsi"/>
          <w:lang w:val="en-GB"/>
        </w:rPr>
      </w:pPr>
      <w:r w:rsidRPr="00186D13">
        <w:rPr>
          <w:rFonts w:cstheme="minorHAnsi"/>
          <w:lang w:val="en-GB"/>
        </w:rPr>
        <w:t>However:</w:t>
      </w:r>
    </w:p>
    <w:p w14:paraId="3BEE7156" w14:textId="3D8A575A" w:rsidR="00035C07" w:rsidRDefault="00186D13" w:rsidP="00D96754">
      <w:pPr>
        <w:pStyle w:val="ListParagraph"/>
        <w:numPr>
          <w:ilvl w:val="0"/>
          <w:numId w:val="2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186D13">
        <w:rPr>
          <w:rFonts w:asciiTheme="minorHAnsi" w:hAnsiTheme="minorHAnsi" w:cstheme="minorHAnsi"/>
          <w:sz w:val="22"/>
          <w:szCs w:val="22"/>
        </w:rPr>
        <w:t xml:space="preserve">It has </w:t>
      </w:r>
      <w:r>
        <w:rPr>
          <w:rFonts w:asciiTheme="minorHAnsi" w:hAnsiTheme="minorHAnsi" w:cstheme="minorHAnsi"/>
          <w:sz w:val="22"/>
          <w:szCs w:val="22"/>
        </w:rPr>
        <w:t xml:space="preserve">been noted that the minimum flow rates on combi boilers are becoming an issue for </w:t>
      </w:r>
      <w:r w:rsidR="00E6770C">
        <w:rPr>
          <w:rFonts w:asciiTheme="minorHAnsi" w:hAnsiTheme="minorHAnsi" w:cstheme="minorHAnsi"/>
          <w:sz w:val="22"/>
          <w:szCs w:val="22"/>
        </w:rPr>
        <w:t>new dwellings with lower outlet flow rates (</w:t>
      </w:r>
      <w:r w:rsidR="00C477D0">
        <w:rPr>
          <w:rFonts w:asciiTheme="minorHAnsi" w:hAnsiTheme="minorHAnsi" w:cstheme="minorHAnsi"/>
          <w:sz w:val="22"/>
          <w:szCs w:val="22"/>
        </w:rPr>
        <w:t>Environment Agency, Combination Boilers and Low Flow Fittings, 2007)</w:t>
      </w:r>
    </w:p>
    <w:p w14:paraId="7F45F92C" w14:textId="3B3795A3" w:rsidR="009D1C27" w:rsidRPr="00186D13" w:rsidRDefault="009441C4" w:rsidP="00D96754">
      <w:pPr>
        <w:pStyle w:val="ListParagraph"/>
        <w:numPr>
          <w:ilvl w:val="0"/>
          <w:numId w:val="2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Gas boilers are often paired with cylinders, to avoid such issues, particularly in higher end dwellings. </w:t>
      </w:r>
      <w:r w:rsidR="009E3FBB">
        <w:rPr>
          <w:rFonts w:asciiTheme="minorHAnsi" w:hAnsiTheme="minorHAnsi" w:cstheme="minorHAnsi"/>
          <w:sz w:val="22"/>
          <w:szCs w:val="22"/>
        </w:rPr>
        <w:t xml:space="preserve">This is generally not an option </w:t>
      </w:r>
      <w:r w:rsidR="00BF31D5">
        <w:rPr>
          <w:rFonts w:asciiTheme="minorHAnsi" w:hAnsiTheme="minorHAnsi" w:cstheme="minorHAnsi"/>
          <w:sz w:val="22"/>
          <w:szCs w:val="22"/>
        </w:rPr>
        <w:t xml:space="preserve">with HIUs, as </w:t>
      </w:r>
      <w:r w:rsidR="009D1C27">
        <w:rPr>
          <w:rFonts w:asciiTheme="minorHAnsi" w:hAnsiTheme="minorHAnsi" w:cstheme="minorHAnsi"/>
          <w:sz w:val="22"/>
          <w:szCs w:val="22"/>
        </w:rPr>
        <w:t xml:space="preserve">hot water cylinders are </w:t>
      </w:r>
      <w:r w:rsidR="008A5FCE">
        <w:rPr>
          <w:rFonts w:asciiTheme="minorHAnsi" w:hAnsiTheme="minorHAnsi" w:cstheme="minorHAnsi"/>
          <w:sz w:val="22"/>
          <w:szCs w:val="22"/>
        </w:rPr>
        <w:t xml:space="preserve">often not considered appropriate for heat networks, due to high return temperatures are requirements for high flow temperatures. </w:t>
      </w:r>
    </w:p>
    <w:p w14:paraId="28F73CF4" w14:textId="2E70F0EB" w:rsidR="00035C07" w:rsidRDefault="00415BE5" w:rsidP="000A7603">
      <w:pPr>
        <w:spacing w:before="240" w:after="120"/>
        <w:jc w:val="both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With respect to (a), there is no reason for HIUs to be restricted to the same limitations as gas boilers, as it is technologically possible to deliver much lower </w:t>
      </w:r>
      <w:r w:rsidR="006C7F40">
        <w:rPr>
          <w:rFonts w:cstheme="minorHAnsi"/>
          <w:lang w:val="en-GB"/>
        </w:rPr>
        <w:t>flow rates from HIUs (as already demonstrated from HIUs that have passed the test).</w:t>
      </w:r>
      <w:r w:rsidR="00ED1817">
        <w:rPr>
          <w:rFonts w:cstheme="minorHAnsi"/>
          <w:lang w:val="en-GB"/>
        </w:rPr>
        <w:t xml:space="preserve"> Reducing </w:t>
      </w:r>
      <w:r w:rsidR="00C30BE6">
        <w:rPr>
          <w:rFonts w:cstheme="minorHAnsi"/>
          <w:lang w:val="en-GB"/>
        </w:rPr>
        <w:t>minimum burner heat outputs on combi boilers is much harder.</w:t>
      </w:r>
    </w:p>
    <w:p w14:paraId="4FF4E86C" w14:textId="77950531" w:rsidR="00415BE5" w:rsidRPr="00186D13" w:rsidRDefault="00415BE5" w:rsidP="000A7603">
      <w:pPr>
        <w:spacing w:before="240" w:after="120"/>
        <w:jc w:val="both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With respect to (b), </w:t>
      </w:r>
      <w:r w:rsidR="00013BB0">
        <w:rPr>
          <w:rFonts w:cstheme="minorHAnsi"/>
          <w:lang w:val="en-GB"/>
        </w:rPr>
        <w:t xml:space="preserve">it is clear that the BESA HIU Test Regime should </w:t>
      </w:r>
      <w:r w:rsidR="00BF31D5">
        <w:rPr>
          <w:rFonts w:cstheme="minorHAnsi"/>
          <w:lang w:val="en-GB"/>
        </w:rPr>
        <w:t>cover HIUs that are appropriate to the full range of use types</w:t>
      </w:r>
      <w:r w:rsidR="00EF7A31">
        <w:rPr>
          <w:rFonts w:cstheme="minorHAnsi"/>
          <w:lang w:val="en-GB"/>
        </w:rPr>
        <w:t xml:space="preserve">. </w:t>
      </w:r>
    </w:p>
    <w:p w14:paraId="49508471" w14:textId="004887AB" w:rsidR="0044433C" w:rsidRDefault="00EF7A31" w:rsidP="00FB527D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As such, making a comparison to </w:t>
      </w:r>
      <w:r w:rsidR="000D01BA">
        <w:rPr>
          <w:lang w:val="en-GB"/>
        </w:rPr>
        <w:t>combi gas boilers is not appropriate.</w:t>
      </w:r>
    </w:p>
    <w:p w14:paraId="5668547B" w14:textId="5ACB2738" w:rsidR="000A7603" w:rsidRPr="003F5621" w:rsidRDefault="000A7603" w:rsidP="000A7603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 xml:space="preserve">Consideration </w:t>
      </w:r>
      <w:r w:rsidR="00E21EFC">
        <w:rPr>
          <w:rFonts w:asciiTheme="minorHAnsi" w:hAnsiTheme="minorHAnsi" w:cstheme="minorHAnsi"/>
          <w:b/>
          <w:bCs/>
          <w:sz w:val="22"/>
          <w:szCs w:val="22"/>
        </w:rPr>
        <w:t>2: Likely minimum flow rates in practice</w:t>
      </w:r>
    </w:p>
    <w:p w14:paraId="7E1A6A2E" w14:textId="43A557D1" w:rsidR="000A7603" w:rsidRDefault="00262965" w:rsidP="00FB527D">
      <w:pPr>
        <w:spacing w:before="240" w:after="120"/>
        <w:jc w:val="both"/>
        <w:rPr>
          <w:lang w:val="en-GB"/>
        </w:rPr>
      </w:pPr>
      <w:r>
        <w:rPr>
          <w:lang w:val="en-GB"/>
        </w:rPr>
        <w:t>In order to assess the minimum domestic hot water flow rates likely to be experienced in practice, we need to consider:</w:t>
      </w:r>
    </w:p>
    <w:p w14:paraId="3926C7F7" w14:textId="45F8B334" w:rsidR="00262965" w:rsidRPr="00185564" w:rsidRDefault="00262965" w:rsidP="00D96754">
      <w:pPr>
        <w:pStyle w:val="ListParagraph"/>
        <w:numPr>
          <w:ilvl w:val="0"/>
          <w:numId w:val="3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185564">
        <w:rPr>
          <w:rFonts w:asciiTheme="minorHAnsi" w:hAnsiTheme="minorHAnsi" w:cstheme="minorHAnsi"/>
          <w:sz w:val="22"/>
          <w:szCs w:val="22"/>
        </w:rPr>
        <w:t>Outlet flow rates</w:t>
      </w:r>
    </w:p>
    <w:p w14:paraId="70FFBA6A" w14:textId="19D7C204" w:rsidR="00262965" w:rsidRPr="00185564" w:rsidRDefault="00030138" w:rsidP="00D96754">
      <w:pPr>
        <w:pStyle w:val="ListParagraph"/>
        <w:numPr>
          <w:ilvl w:val="0"/>
          <w:numId w:val="3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185564">
        <w:rPr>
          <w:rFonts w:asciiTheme="minorHAnsi" w:hAnsiTheme="minorHAnsi" w:cstheme="minorHAnsi"/>
          <w:sz w:val="22"/>
          <w:szCs w:val="22"/>
        </w:rPr>
        <w:t>Outlet flow rates in use</w:t>
      </w:r>
    </w:p>
    <w:p w14:paraId="4AB2132E" w14:textId="77777777" w:rsidR="00D0665A" w:rsidRDefault="00D0665A" w:rsidP="00D96754">
      <w:pPr>
        <w:pStyle w:val="ListParagraph"/>
        <w:numPr>
          <w:ilvl w:val="0"/>
          <w:numId w:val="3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DHW Flow rates given mix down: </w:t>
      </w:r>
    </w:p>
    <w:p w14:paraId="08BC8958" w14:textId="629008E5" w:rsidR="00030138" w:rsidRPr="00185564" w:rsidRDefault="00185564" w:rsidP="00D96754">
      <w:pPr>
        <w:pStyle w:val="ListParagraph"/>
        <w:numPr>
          <w:ilvl w:val="1"/>
          <w:numId w:val="3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185564">
        <w:rPr>
          <w:rFonts w:asciiTheme="minorHAnsi" w:hAnsiTheme="minorHAnsi" w:cstheme="minorHAnsi"/>
          <w:sz w:val="22"/>
          <w:szCs w:val="22"/>
        </w:rPr>
        <w:t>DHW delivery</w:t>
      </w:r>
      <w:r w:rsidR="00030138" w:rsidRPr="00185564">
        <w:rPr>
          <w:rFonts w:asciiTheme="minorHAnsi" w:hAnsiTheme="minorHAnsi" w:cstheme="minorHAnsi"/>
          <w:sz w:val="22"/>
          <w:szCs w:val="22"/>
        </w:rPr>
        <w:t xml:space="preserve"> temperature</w:t>
      </w:r>
      <w:r w:rsidRPr="00185564">
        <w:rPr>
          <w:rFonts w:asciiTheme="minorHAnsi" w:hAnsiTheme="minorHAnsi" w:cstheme="minorHAnsi"/>
          <w:sz w:val="22"/>
          <w:szCs w:val="22"/>
        </w:rPr>
        <w:t xml:space="preserve"> to the outlet</w:t>
      </w:r>
    </w:p>
    <w:p w14:paraId="52645869" w14:textId="5F1DA3EF" w:rsidR="00030138" w:rsidRPr="00185564" w:rsidRDefault="00185564" w:rsidP="00D96754">
      <w:pPr>
        <w:pStyle w:val="ListParagraph"/>
        <w:numPr>
          <w:ilvl w:val="1"/>
          <w:numId w:val="3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185564">
        <w:rPr>
          <w:rFonts w:asciiTheme="minorHAnsi" w:hAnsiTheme="minorHAnsi" w:cstheme="minorHAnsi"/>
          <w:sz w:val="22"/>
          <w:szCs w:val="22"/>
        </w:rPr>
        <w:t>Cold water supply temperature</w:t>
      </w:r>
    </w:p>
    <w:p w14:paraId="3B480C18" w14:textId="6132A120" w:rsidR="00262965" w:rsidRPr="00723D39" w:rsidRDefault="00723D39" w:rsidP="00FB527D">
      <w:pPr>
        <w:spacing w:before="240" w:after="120"/>
        <w:jc w:val="both"/>
        <w:rPr>
          <w:u w:val="single"/>
          <w:lang w:val="en-GB"/>
        </w:rPr>
      </w:pPr>
      <w:r w:rsidRPr="00723D39">
        <w:rPr>
          <w:u w:val="single"/>
          <w:lang w:val="en-GB"/>
        </w:rPr>
        <w:t>Outlet flow rates</w:t>
      </w:r>
    </w:p>
    <w:p w14:paraId="0E035103" w14:textId="72077E93" w:rsidR="00CA01E5" w:rsidRDefault="00CA01E5" w:rsidP="00FB527D">
      <w:pPr>
        <w:spacing w:before="240" w:after="120"/>
        <w:jc w:val="both"/>
        <w:rPr>
          <w:lang w:val="en-GB"/>
        </w:rPr>
      </w:pPr>
      <w:r>
        <w:rPr>
          <w:lang w:val="en-GB"/>
        </w:rPr>
        <w:t>There are three good sources for likely minimum outlet flow rates:</w:t>
      </w:r>
    </w:p>
    <w:p w14:paraId="702C6894" w14:textId="0B4E8D62" w:rsidR="00CA01E5" w:rsidRDefault="00CA01E5" w:rsidP="00D96754">
      <w:pPr>
        <w:pStyle w:val="ListParagraph"/>
        <w:numPr>
          <w:ilvl w:val="0"/>
          <w:numId w:val="4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CA01E5">
        <w:rPr>
          <w:rFonts w:asciiTheme="minorHAnsi" w:hAnsiTheme="minorHAnsi" w:cstheme="minorHAnsi"/>
          <w:sz w:val="22"/>
          <w:szCs w:val="22"/>
        </w:rPr>
        <w:t>The NHBC Design Guidelines</w:t>
      </w:r>
    </w:p>
    <w:p w14:paraId="5F929854" w14:textId="5063C8DD" w:rsidR="00CA01E5" w:rsidRDefault="00B05A88" w:rsidP="00D96754">
      <w:pPr>
        <w:pStyle w:val="ListParagraph"/>
        <w:numPr>
          <w:ilvl w:val="0"/>
          <w:numId w:val="4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Building Regulation Part G water calculator</w:t>
      </w:r>
    </w:p>
    <w:p w14:paraId="1F1DB5C8" w14:textId="5832E4A7" w:rsidR="00B05A88" w:rsidRPr="00CA01E5" w:rsidRDefault="00B05A88" w:rsidP="00D96754">
      <w:pPr>
        <w:pStyle w:val="ListParagraph"/>
        <w:numPr>
          <w:ilvl w:val="0"/>
          <w:numId w:val="4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Real world specifications for new build </w:t>
      </w:r>
      <w:r w:rsidR="00116054">
        <w:rPr>
          <w:rFonts w:asciiTheme="minorHAnsi" w:hAnsiTheme="minorHAnsi" w:cstheme="minorHAnsi"/>
          <w:sz w:val="22"/>
          <w:szCs w:val="22"/>
        </w:rPr>
        <w:t>developments</w:t>
      </w:r>
    </w:p>
    <w:p w14:paraId="79B7ED4F" w14:textId="47AED26D" w:rsidR="0044433C" w:rsidRDefault="00116054" w:rsidP="00F13913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The </w:t>
      </w:r>
      <w:r w:rsidR="00FB527D">
        <w:rPr>
          <w:lang w:val="en-GB"/>
        </w:rPr>
        <w:t>2019 NHBC Design Guidelines, Part 8</w:t>
      </w:r>
      <w:r>
        <w:rPr>
          <w:lang w:val="en-GB"/>
        </w:rPr>
        <w:t>, provide guidelines for minimum flow rates</w:t>
      </w:r>
      <w:r w:rsidR="00F13913">
        <w:rPr>
          <w:lang w:val="en-GB"/>
        </w:rPr>
        <w:t xml:space="preserve"> for various outlets. These are lowest in </w:t>
      </w:r>
      <w:r w:rsidR="0044433C">
        <w:rPr>
          <w:lang w:val="en-GB"/>
        </w:rPr>
        <w:t>wash hand basins</w:t>
      </w:r>
      <w:r w:rsidR="00F13913">
        <w:rPr>
          <w:lang w:val="en-GB"/>
        </w:rPr>
        <w:t xml:space="preserve"> and </w:t>
      </w:r>
      <w:r w:rsidR="00BB7B94">
        <w:rPr>
          <w:lang w:val="en-GB"/>
        </w:rPr>
        <w:t>at the kitchen sink, where there is a requirement</w:t>
      </w:r>
      <w:r w:rsidR="0044433C">
        <w:rPr>
          <w:lang w:val="en-GB"/>
        </w:rPr>
        <w:t xml:space="preserve"> to be able to deliver 0.1 l/s, at full flow, which equates to 6 l/min.</w:t>
      </w:r>
    </w:p>
    <w:tbl>
      <w:tblPr>
        <w:tblW w:w="12026" w:type="dxa"/>
        <w:tblLook w:val="04A0" w:firstRow="1" w:lastRow="0" w:firstColumn="1" w:lastColumn="0" w:noHBand="0" w:noVBand="1"/>
      </w:tblPr>
      <w:tblGrid>
        <w:gridCol w:w="1900"/>
        <w:gridCol w:w="1923"/>
        <w:gridCol w:w="1564"/>
        <w:gridCol w:w="1843"/>
        <w:gridCol w:w="1842"/>
        <w:gridCol w:w="1477"/>
        <w:gridCol w:w="1477"/>
      </w:tblGrid>
      <w:tr w:rsidR="00F7104F" w:rsidRPr="00F7104F" w14:paraId="0B58DF4D" w14:textId="117BE831" w:rsidTr="0044433C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502E" w14:textId="5216AA0B" w:rsidR="00F7104F" w:rsidRPr="00F7104F" w:rsidRDefault="0044433C" w:rsidP="00444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44433C">
              <w:rPr>
                <w:rFonts w:ascii="Calibri" w:eastAsia="Times New Roman" w:hAnsi="Calibri" w:cs="Calibri"/>
                <w:color w:val="000000"/>
                <w:lang w:val="en-GB" w:eastAsia="en-GB"/>
              </w:rPr>
              <w:t>Outlet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E81A" w14:textId="7C012A10" w:rsidR="00F7104F" w:rsidRPr="00F7104F" w:rsidRDefault="00097700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D</w:t>
            </w:r>
            <w:r w:rsidR="00F7104F" w:rsidRPr="00F7104F">
              <w:rPr>
                <w:rFonts w:ascii="Calibri" w:eastAsia="Times New Roman" w:hAnsi="Calibri" w:cs="Calibri"/>
                <w:color w:val="000000"/>
                <w:lang w:val="en-GB" w:eastAsia="en-GB"/>
              </w:rPr>
              <w:t>esign flow (l/s)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FCCC" w14:textId="148DFDE9" w:rsidR="00F7104F" w:rsidRPr="00F7104F" w:rsidRDefault="00097700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M</w:t>
            </w:r>
            <w:r w:rsidR="00F7104F" w:rsidRPr="00F7104F">
              <w:rPr>
                <w:rFonts w:ascii="Calibri" w:eastAsia="Times New Roman" w:hAnsi="Calibri" w:cs="Calibri"/>
                <w:color w:val="000000"/>
                <w:lang w:val="en-GB" w:eastAsia="en-GB"/>
              </w:rPr>
              <w:t>in flow (l/s)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BDF5A" w14:textId="0607C4E5" w:rsidR="00F7104F" w:rsidRPr="00F7104F" w:rsidRDefault="00097700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D</w:t>
            </w:r>
            <w:r w:rsidR="00F7104F" w:rsidRPr="00F7104F">
              <w:rPr>
                <w:rFonts w:ascii="Calibri" w:eastAsia="Times New Roman" w:hAnsi="Calibri" w:cs="Calibri"/>
                <w:color w:val="000000"/>
                <w:lang w:val="en-GB" w:eastAsia="en-GB"/>
              </w:rPr>
              <w:t>esign flow (l/</w:t>
            </w:r>
            <w:r w:rsidR="00F7104F">
              <w:rPr>
                <w:rFonts w:ascii="Calibri" w:eastAsia="Times New Roman" w:hAnsi="Calibri" w:cs="Calibri"/>
                <w:color w:val="000000"/>
                <w:lang w:val="en-GB" w:eastAsia="en-GB"/>
              </w:rPr>
              <w:t>m</w:t>
            </w:r>
            <w:r w:rsidR="00F7104F" w:rsidRPr="00F7104F">
              <w:rPr>
                <w:rFonts w:ascii="Calibri" w:eastAsia="Times New Roman" w:hAnsi="Calibri" w:cs="Calibri"/>
                <w:color w:val="000000"/>
                <w:lang w:val="en-GB" w:eastAsia="en-GB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4654D" w14:textId="73194673" w:rsidR="00F7104F" w:rsidRPr="00F7104F" w:rsidRDefault="00F7104F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04F">
              <w:rPr>
                <w:rFonts w:ascii="Calibri" w:eastAsia="Times New Roman" w:hAnsi="Calibri" w:cs="Calibri"/>
                <w:color w:val="000000"/>
                <w:lang w:val="en-GB" w:eastAsia="en-GB"/>
              </w:rPr>
              <w:t>Min flow (l/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m</w:t>
            </w:r>
            <w:r w:rsidRPr="00F7104F">
              <w:rPr>
                <w:rFonts w:ascii="Calibri" w:eastAsia="Times New Roman" w:hAnsi="Calibri" w:cs="Calibri"/>
                <w:color w:val="000000"/>
                <w:lang w:val="en-GB" w:eastAsia="en-GB"/>
              </w:rPr>
              <w:t>)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750A7" w14:textId="22B9B5B0" w:rsidR="00F7104F" w:rsidRPr="00F7104F" w:rsidRDefault="00F7104F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372E00FE" w14:textId="77777777" w:rsidR="00F7104F" w:rsidRPr="00F7104F" w:rsidRDefault="00F7104F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04F" w:rsidRPr="00F7104F" w14:paraId="6AE4B8C2" w14:textId="76B36AD2" w:rsidTr="0044433C">
        <w:trPr>
          <w:trHeight w:val="315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417F" w14:textId="77777777" w:rsidR="00F7104F" w:rsidRPr="00F7104F" w:rsidRDefault="00F7104F" w:rsidP="00F710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04F">
              <w:rPr>
                <w:rFonts w:ascii="Calibri" w:eastAsia="Times New Roman" w:hAnsi="Calibri" w:cs="Calibri"/>
                <w:color w:val="000000"/>
                <w:lang w:val="en-GB" w:eastAsia="en-GB"/>
              </w:rPr>
              <w:t>WHB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8BA3" w14:textId="77777777" w:rsidR="00F7104F" w:rsidRPr="00F7104F" w:rsidRDefault="00F7104F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04F">
              <w:rPr>
                <w:rFonts w:ascii="Calibri" w:eastAsia="Times New Roman" w:hAnsi="Calibri" w:cs="Calibri"/>
                <w:color w:val="000000"/>
                <w:lang w:val="en-GB" w:eastAsia="en-GB"/>
              </w:rPr>
              <w:t>0.15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D8A4" w14:textId="77777777" w:rsidR="00F7104F" w:rsidRPr="00F7104F" w:rsidRDefault="00F7104F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04F">
              <w:rPr>
                <w:rFonts w:ascii="Calibri" w:eastAsia="Times New Roman" w:hAnsi="Calibri" w:cs="Calibri"/>
                <w:color w:val="000000"/>
                <w:lang w:val="en-GB" w:eastAsia="en-GB"/>
              </w:rPr>
              <w:t>0.1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B9B8D" w14:textId="4DB9E491" w:rsidR="00F7104F" w:rsidRPr="00F7104F" w:rsidRDefault="00F7104F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6B5D17" w14:textId="001962F4" w:rsidR="00F7104F" w:rsidRPr="00F7104F" w:rsidRDefault="00097700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6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5EBE1" w14:textId="6ADE331C" w:rsidR="00F7104F" w:rsidRPr="00F7104F" w:rsidRDefault="00F7104F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5006FEAA" w14:textId="77777777" w:rsidR="00F7104F" w:rsidRPr="00F7104F" w:rsidRDefault="00F7104F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04F" w:rsidRPr="00F7104F" w14:paraId="567913EA" w14:textId="784A749C" w:rsidTr="0044433C">
        <w:trPr>
          <w:trHeight w:val="403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0D89F" w14:textId="0D19725F" w:rsidR="00F7104F" w:rsidRPr="00F7104F" w:rsidRDefault="0044433C" w:rsidP="00F710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Kitchen </w:t>
            </w:r>
            <w:r w:rsidR="00F7104F" w:rsidRPr="00F7104F">
              <w:rPr>
                <w:rFonts w:ascii="Calibri" w:eastAsia="Times New Roman" w:hAnsi="Calibri" w:cs="Calibri"/>
                <w:color w:val="000000"/>
                <w:lang w:val="en-GB" w:eastAsia="en-GB"/>
              </w:rPr>
              <w:t>Sink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32633" w14:textId="77777777" w:rsidR="00F7104F" w:rsidRPr="00F7104F" w:rsidRDefault="00F7104F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04F">
              <w:rPr>
                <w:rFonts w:ascii="Calibri" w:eastAsia="Times New Roman" w:hAnsi="Calibri" w:cs="Calibri"/>
                <w:color w:val="000000"/>
                <w:lang w:val="en-GB" w:eastAsia="en-GB"/>
              </w:rPr>
              <w:t>0.2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D5596" w14:textId="77777777" w:rsidR="00F7104F" w:rsidRPr="00F7104F" w:rsidRDefault="00F7104F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04F">
              <w:rPr>
                <w:rFonts w:ascii="Calibri" w:eastAsia="Times New Roman" w:hAnsi="Calibri" w:cs="Calibri"/>
                <w:color w:val="000000"/>
                <w:lang w:val="en-GB" w:eastAsia="en-GB"/>
              </w:rPr>
              <w:t>0.1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DE57D" w14:textId="613C832F" w:rsidR="00F7104F" w:rsidRPr="00F7104F" w:rsidRDefault="00097700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9A80E" w14:textId="2AD70B03" w:rsidR="00F7104F" w:rsidRPr="00F7104F" w:rsidRDefault="00097700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6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86CE5" w14:textId="1D09C16B" w:rsidR="00F7104F" w:rsidRPr="00F7104F" w:rsidRDefault="00F7104F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</w:tcPr>
          <w:p w14:paraId="50268081" w14:textId="77777777" w:rsidR="00F7104F" w:rsidRPr="00F7104F" w:rsidRDefault="00F7104F" w:rsidP="00F710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14:paraId="139A82CB" w14:textId="7E502BC2" w:rsidR="0026012D" w:rsidRDefault="0026012D" w:rsidP="00FB527D">
      <w:pPr>
        <w:spacing w:before="240" w:after="120"/>
        <w:jc w:val="both"/>
        <w:rPr>
          <w:lang w:val="en-GB"/>
        </w:rPr>
      </w:pPr>
    </w:p>
    <w:p w14:paraId="0E3C7147" w14:textId="5D3785A1" w:rsidR="00F515FF" w:rsidRDefault="00DF35E8" w:rsidP="00080B3C">
      <w:pPr>
        <w:autoSpaceDE w:val="0"/>
        <w:autoSpaceDN w:val="0"/>
        <w:adjustRightInd w:val="0"/>
        <w:spacing w:after="0" w:line="240" w:lineRule="auto"/>
        <w:rPr>
          <w:lang w:val="en-GB"/>
        </w:rPr>
      </w:pPr>
      <w:r>
        <w:rPr>
          <w:lang w:val="en-GB"/>
        </w:rPr>
        <w:t>The</w:t>
      </w:r>
      <w:r w:rsidR="008D59BF">
        <w:rPr>
          <w:lang w:val="en-GB"/>
        </w:rPr>
        <w:t xml:space="preserve"> </w:t>
      </w:r>
      <w:r>
        <w:rPr>
          <w:lang w:val="en-GB"/>
        </w:rPr>
        <w:t>Building Regulations Part G</w:t>
      </w:r>
      <w:r w:rsidR="00C102D6">
        <w:rPr>
          <w:lang w:val="en-GB"/>
        </w:rPr>
        <w:t>2</w:t>
      </w:r>
      <w:r>
        <w:rPr>
          <w:lang w:val="en-GB"/>
        </w:rPr>
        <w:t xml:space="preserve"> provides </w:t>
      </w:r>
      <w:r w:rsidR="00C102D6">
        <w:rPr>
          <w:lang w:val="en-GB"/>
        </w:rPr>
        <w:t xml:space="preserve">guidance on </w:t>
      </w:r>
      <w:r w:rsidR="003C6BBF">
        <w:rPr>
          <w:lang w:val="en-GB"/>
        </w:rPr>
        <w:t xml:space="preserve">maximum consumption, in l/min for various outlets. In many cases these are </w:t>
      </w:r>
      <w:r w:rsidR="003C6BBF" w:rsidRPr="003C6BBF">
        <w:rPr>
          <w:i/>
          <w:iCs/>
          <w:lang w:val="en-GB"/>
        </w:rPr>
        <w:t>lower</w:t>
      </w:r>
      <w:r w:rsidR="003C6BBF">
        <w:rPr>
          <w:lang w:val="en-GB"/>
        </w:rPr>
        <w:t xml:space="preserve"> than the NHBC Design Guidelines</w:t>
      </w:r>
      <w:r w:rsidR="00F515FF">
        <w:rPr>
          <w:lang w:val="en-GB"/>
        </w:rPr>
        <w:t xml:space="preserve"> (</w:t>
      </w:r>
      <w:r w:rsidR="003C6BBF">
        <w:rPr>
          <w:lang w:val="en-GB"/>
        </w:rPr>
        <w:t>which raises a question with respect to compliance that will not be explored in this note</w:t>
      </w:r>
      <w:r w:rsidR="00F515FF">
        <w:rPr>
          <w:lang w:val="en-GB"/>
        </w:rPr>
        <w:t>)</w:t>
      </w:r>
      <w:r w:rsidR="003C6BBF">
        <w:rPr>
          <w:lang w:val="en-GB"/>
        </w:rPr>
        <w:t>.</w:t>
      </w:r>
      <w:r w:rsidR="00F515FF">
        <w:rPr>
          <w:lang w:val="en-GB"/>
        </w:rPr>
        <w:t xml:space="preserve"> There is also the </w:t>
      </w:r>
      <w:r w:rsidR="000E7A2B">
        <w:rPr>
          <w:lang w:val="en-GB"/>
        </w:rPr>
        <w:t xml:space="preserve">provision for an </w:t>
      </w:r>
      <w:r w:rsidR="0057790A">
        <w:rPr>
          <w:lang w:val="en-GB"/>
        </w:rPr>
        <w:t>“</w:t>
      </w:r>
      <w:r w:rsidR="000E7A2B">
        <w:rPr>
          <w:lang w:val="en-GB"/>
        </w:rPr>
        <w:t>optional requirement</w:t>
      </w:r>
      <w:r w:rsidR="0057790A">
        <w:rPr>
          <w:lang w:val="en-GB"/>
        </w:rPr>
        <w:t>”</w:t>
      </w:r>
      <w:r w:rsidR="000E7A2B">
        <w:rPr>
          <w:lang w:val="en-GB"/>
        </w:rPr>
        <w:t xml:space="preserve">, which </w:t>
      </w:r>
      <w:r w:rsidR="000E7A2B" w:rsidRPr="000E7A2B">
        <w:rPr>
          <w:lang w:val="en-GB"/>
        </w:rPr>
        <w:t>only applies</w:t>
      </w:r>
      <w:r w:rsidR="000E7A2B">
        <w:rPr>
          <w:lang w:val="en-GB"/>
        </w:rPr>
        <w:t xml:space="preserve"> </w:t>
      </w:r>
      <w:r w:rsidR="000E7A2B" w:rsidRPr="000E7A2B">
        <w:rPr>
          <w:lang w:val="en-GB"/>
        </w:rPr>
        <w:t>where a condition that the dwelling should meet</w:t>
      </w:r>
      <w:r w:rsidR="0057790A">
        <w:rPr>
          <w:lang w:val="en-GB"/>
        </w:rPr>
        <w:t xml:space="preserve"> </w:t>
      </w:r>
      <w:r w:rsidR="000E7A2B" w:rsidRPr="000E7A2B">
        <w:rPr>
          <w:lang w:val="en-GB"/>
        </w:rPr>
        <w:t>the optional requirement is imposed as part of</w:t>
      </w:r>
      <w:r w:rsidR="0057790A">
        <w:rPr>
          <w:lang w:val="en-GB"/>
        </w:rPr>
        <w:t xml:space="preserve"> </w:t>
      </w:r>
      <w:r w:rsidR="000E7A2B" w:rsidRPr="000E7A2B">
        <w:rPr>
          <w:lang w:val="en-GB"/>
        </w:rPr>
        <w:t>the process of granting planning permission</w:t>
      </w:r>
      <w:r w:rsidR="0057790A">
        <w:rPr>
          <w:lang w:val="en-GB"/>
        </w:rPr>
        <w:t xml:space="preserve">. Where this applies, </w:t>
      </w:r>
      <w:r w:rsidR="00080B3C" w:rsidRPr="00080B3C">
        <w:rPr>
          <w:lang w:val="en-GB"/>
        </w:rPr>
        <w:t>the estimated consumption</w:t>
      </w:r>
      <w:r w:rsidR="00080B3C">
        <w:rPr>
          <w:lang w:val="en-GB"/>
        </w:rPr>
        <w:t xml:space="preserve"> </w:t>
      </w:r>
      <w:r w:rsidR="00080B3C" w:rsidRPr="00080B3C">
        <w:rPr>
          <w:lang w:val="en-GB"/>
        </w:rPr>
        <w:t>of wholesome water calculated in accordance</w:t>
      </w:r>
      <w:r w:rsidR="00080B3C">
        <w:rPr>
          <w:lang w:val="en-GB"/>
        </w:rPr>
        <w:t xml:space="preserve"> </w:t>
      </w:r>
      <w:r w:rsidR="00080B3C" w:rsidRPr="00080B3C">
        <w:rPr>
          <w:lang w:val="en-GB"/>
        </w:rPr>
        <w:t xml:space="preserve">with the methodology in the </w:t>
      </w:r>
      <w:r w:rsidR="00080B3C">
        <w:rPr>
          <w:lang w:val="en-GB"/>
        </w:rPr>
        <w:t>w</w:t>
      </w:r>
      <w:r w:rsidR="00080B3C" w:rsidRPr="00080B3C">
        <w:rPr>
          <w:lang w:val="en-GB"/>
        </w:rPr>
        <w:t>ater efficiency</w:t>
      </w:r>
      <w:r w:rsidR="00080B3C">
        <w:rPr>
          <w:lang w:val="en-GB"/>
        </w:rPr>
        <w:t xml:space="preserve"> </w:t>
      </w:r>
      <w:r w:rsidR="00080B3C" w:rsidRPr="00080B3C">
        <w:rPr>
          <w:lang w:val="en-GB"/>
        </w:rPr>
        <w:t>calculator, should not exceed 110 litres/person/day.</w:t>
      </w:r>
    </w:p>
    <w:p w14:paraId="1FFF39F3" w14:textId="3517F48E" w:rsidR="003C6BBF" w:rsidRDefault="00080B3C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Where the optional requirement does apply, the maximum consumption allowed </w:t>
      </w:r>
      <w:r w:rsidR="00B4739A">
        <w:rPr>
          <w:lang w:val="en-GB"/>
        </w:rPr>
        <w:t>from WHB is 5 l/min, as per Table 2.2 (as shown below).</w:t>
      </w:r>
    </w:p>
    <w:p w14:paraId="707DE993" w14:textId="382C2EB2" w:rsidR="007E7BBB" w:rsidRDefault="007A602C" w:rsidP="0068185E">
      <w:pPr>
        <w:spacing w:before="240" w:after="120"/>
        <w:jc w:val="both"/>
        <w:rPr>
          <w:lang w:val="en-GB"/>
        </w:rPr>
      </w:pPr>
      <w:r w:rsidRPr="007A602C">
        <w:rPr>
          <w:noProof/>
          <w:lang w:val="en-GB"/>
        </w:rPr>
        <w:drawing>
          <wp:inline distT="0" distB="0" distL="0" distR="0" wp14:anchorId="120842BA" wp14:editId="5CBCC5ED">
            <wp:extent cx="2524125" cy="16287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672" cy="1639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D7712" w14:textId="5A5F0708" w:rsidR="009B54CE" w:rsidRDefault="009B54CE" w:rsidP="009B54CE">
      <w:pPr>
        <w:spacing w:before="240" w:after="120"/>
        <w:jc w:val="both"/>
        <w:rPr>
          <w:lang w:val="en-GB"/>
        </w:rPr>
      </w:pPr>
      <w:r>
        <w:rPr>
          <w:lang w:val="en-GB"/>
        </w:rPr>
        <w:t>This optional requirement is often stipulated as a planning requirement,</w:t>
      </w:r>
      <w:r w:rsidR="00A27DC5">
        <w:rPr>
          <w:lang w:val="en-GB"/>
        </w:rPr>
        <w:t xml:space="preserve"> particularly in those localities where heat networks are more prevalent (e.g. London). </w:t>
      </w:r>
    </w:p>
    <w:p w14:paraId="7592DD44" w14:textId="242E9C4E" w:rsidR="0058567D" w:rsidRDefault="00B4739A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It should be </w:t>
      </w:r>
      <w:r w:rsidR="00E41DD5">
        <w:rPr>
          <w:lang w:val="en-GB"/>
        </w:rPr>
        <w:t xml:space="preserve">further </w:t>
      </w:r>
      <w:r>
        <w:rPr>
          <w:lang w:val="en-GB"/>
        </w:rPr>
        <w:t>noted</w:t>
      </w:r>
      <w:r w:rsidR="00E41DD5">
        <w:rPr>
          <w:lang w:val="en-GB"/>
        </w:rPr>
        <w:t xml:space="preserve"> </w:t>
      </w:r>
      <w:r>
        <w:rPr>
          <w:lang w:val="en-GB"/>
        </w:rPr>
        <w:t xml:space="preserve">that these are </w:t>
      </w:r>
      <w:r w:rsidRPr="00E41DD5">
        <w:rPr>
          <w:i/>
          <w:iCs/>
          <w:lang w:val="en-GB"/>
        </w:rPr>
        <w:t>maximum</w:t>
      </w:r>
      <w:r>
        <w:rPr>
          <w:lang w:val="en-GB"/>
        </w:rPr>
        <w:t xml:space="preserve"> flow rates and </w:t>
      </w:r>
      <w:r w:rsidR="00315869">
        <w:rPr>
          <w:lang w:val="en-GB"/>
        </w:rPr>
        <w:t xml:space="preserve">many developers will make trade-offs in flow rate </w:t>
      </w:r>
      <w:r w:rsidR="002274C9">
        <w:rPr>
          <w:lang w:val="en-GB"/>
        </w:rPr>
        <w:t>between appliances</w:t>
      </w:r>
      <w:r w:rsidR="00E41DD5">
        <w:rPr>
          <w:lang w:val="en-GB"/>
        </w:rPr>
        <w:t xml:space="preserve"> when using the water calculator (Appendix A to Part G)</w:t>
      </w:r>
      <w:r w:rsidR="002274C9">
        <w:rPr>
          <w:lang w:val="en-GB"/>
        </w:rPr>
        <w:t>.</w:t>
      </w:r>
      <w:r w:rsidR="00E41DD5">
        <w:rPr>
          <w:lang w:val="en-GB"/>
        </w:rPr>
        <w:t xml:space="preserve"> As a consequence, </w:t>
      </w:r>
      <w:r w:rsidR="002274C9">
        <w:rPr>
          <w:lang w:val="en-GB"/>
        </w:rPr>
        <w:t xml:space="preserve">WHB and </w:t>
      </w:r>
      <w:r w:rsidR="003C46A6">
        <w:rPr>
          <w:lang w:val="en-GB"/>
        </w:rPr>
        <w:t xml:space="preserve">sink flow rates may be lowered significantly below </w:t>
      </w:r>
      <w:r w:rsidR="00E36B19">
        <w:rPr>
          <w:lang w:val="en-GB"/>
        </w:rPr>
        <w:t>the maximum rates</w:t>
      </w:r>
      <w:r w:rsidR="00E41DD5">
        <w:rPr>
          <w:lang w:val="en-GB"/>
        </w:rPr>
        <w:t xml:space="preserve"> – e.g. to enable a higher shower flow rate.</w:t>
      </w:r>
    </w:p>
    <w:p w14:paraId="15DBF3CE" w14:textId="01A5DE67" w:rsidR="00F439AC" w:rsidRDefault="00CE2D14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It should be recognised that there is a general trend to lower flow rates in the industry. The </w:t>
      </w:r>
      <w:r w:rsidR="006B0E40">
        <w:rPr>
          <w:lang w:val="en-GB"/>
        </w:rPr>
        <w:t>Bathroom Manufacturers Association</w:t>
      </w:r>
      <w:r>
        <w:rPr>
          <w:lang w:val="en-GB"/>
        </w:rPr>
        <w:t xml:space="preserve"> published a number of water calculator scenarios, with different flow rates.</w:t>
      </w:r>
    </w:p>
    <w:p w14:paraId="06783B8D" w14:textId="6318B02E" w:rsidR="00684E4D" w:rsidRDefault="00684E4D" w:rsidP="0068185E">
      <w:pPr>
        <w:spacing w:before="240" w:after="120"/>
        <w:jc w:val="both"/>
        <w:rPr>
          <w:lang w:val="en-GB"/>
        </w:rPr>
      </w:pPr>
      <w:r w:rsidRPr="00684E4D">
        <w:rPr>
          <w:noProof/>
          <w:lang w:val="en-GB"/>
        </w:rPr>
        <w:drawing>
          <wp:inline distT="0" distB="0" distL="0" distR="0" wp14:anchorId="362E4797" wp14:editId="29646731">
            <wp:extent cx="5926455" cy="29381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26455" cy="293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BD1C4" w14:textId="1E3F67C6" w:rsidR="006B0E40" w:rsidRDefault="006B0E40" w:rsidP="0068185E">
      <w:pPr>
        <w:spacing w:before="240" w:after="120"/>
        <w:jc w:val="both"/>
        <w:rPr>
          <w:lang w:val="en-GB"/>
        </w:rPr>
      </w:pPr>
    </w:p>
    <w:p w14:paraId="52A133B0" w14:textId="25A968B4" w:rsidR="004F4733" w:rsidRDefault="00235D47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Although this table </w:t>
      </w:r>
      <w:proofErr w:type="gramStart"/>
      <w:r>
        <w:rPr>
          <w:lang w:val="en-GB"/>
        </w:rPr>
        <w:t>makes reference</w:t>
      </w:r>
      <w:proofErr w:type="gramEnd"/>
      <w:r>
        <w:rPr>
          <w:lang w:val="en-GB"/>
        </w:rPr>
        <w:t xml:space="preserve"> to “Code levels”, which were related to the Code for Sustainable Homes, the </w:t>
      </w:r>
      <w:r w:rsidR="004F4733">
        <w:rPr>
          <w:lang w:val="en-GB"/>
        </w:rPr>
        <w:t xml:space="preserve">scenarios shown are using the Part G water calculator and are representative of different strategies </w:t>
      </w:r>
      <w:r w:rsidR="00DD5450">
        <w:rPr>
          <w:lang w:val="en-GB"/>
        </w:rPr>
        <w:t>that are widely seen in the market.</w:t>
      </w:r>
    </w:p>
    <w:p w14:paraId="6F227BAF" w14:textId="6310A753" w:rsidR="00DD5450" w:rsidRDefault="00DD5450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As can be seen, </w:t>
      </w:r>
      <w:r w:rsidR="00400837">
        <w:rPr>
          <w:lang w:val="en-GB"/>
        </w:rPr>
        <w:t>5 of the 6 scenarios have WHB flow rates that are at or below 4 l/min</w:t>
      </w:r>
      <w:r w:rsidR="00BA5B6A">
        <w:rPr>
          <w:lang w:val="en-GB"/>
        </w:rPr>
        <w:t>.</w:t>
      </w:r>
    </w:p>
    <w:p w14:paraId="19690FB3" w14:textId="35B58E47" w:rsidR="0058567D" w:rsidRDefault="005B7662" w:rsidP="009F3BEE">
      <w:pPr>
        <w:spacing w:before="240" w:after="120"/>
        <w:jc w:val="both"/>
        <w:rPr>
          <w:lang w:val="en-GB"/>
        </w:rPr>
      </w:pPr>
      <w:r>
        <w:rPr>
          <w:lang w:val="en-GB"/>
        </w:rPr>
        <w:t>This is representative of the real situation in the market, as the author is aware a large number of developments (i.e. where FairHeat is carrying out Acceptance Testing) w</w:t>
      </w:r>
      <w:r w:rsidR="009F3BEE">
        <w:rPr>
          <w:lang w:val="en-GB"/>
        </w:rPr>
        <w:t>h</w:t>
      </w:r>
      <w:r>
        <w:rPr>
          <w:lang w:val="en-GB"/>
        </w:rPr>
        <w:t>ere</w:t>
      </w:r>
      <w:r w:rsidR="009F3BEE">
        <w:rPr>
          <w:lang w:val="en-GB"/>
        </w:rPr>
        <w:t xml:space="preserve"> WHB</w:t>
      </w:r>
      <w:r w:rsidR="00790F6A">
        <w:rPr>
          <w:lang w:val="en-GB"/>
        </w:rPr>
        <w:t xml:space="preserve"> outlet</w:t>
      </w:r>
      <w:r>
        <w:rPr>
          <w:lang w:val="en-GB"/>
        </w:rPr>
        <w:t xml:space="preserve"> flow rates </w:t>
      </w:r>
      <w:r w:rsidR="009F3BEE">
        <w:rPr>
          <w:lang w:val="en-GB"/>
        </w:rPr>
        <w:t>are between</w:t>
      </w:r>
      <w:r w:rsidR="0058567D">
        <w:rPr>
          <w:lang w:val="en-GB"/>
        </w:rPr>
        <w:t xml:space="preserve"> 3 l/min</w:t>
      </w:r>
      <w:r w:rsidR="009F3BEE">
        <w:rPr>
          <w:lang w:val="en-GB"/>
        </w:rPr>
        <w:t xml:space="preserve"> and 4 l/min</w:t>
      </w:r>
      <w:r w:rsidR="00790F6A">
        <w:rPr>
          <w:lang w:val="en-GB"/>
        </w:rPr>
        <w:t>.</w:t>
      </w:r>
    </w:p>
    <w:p w14:paraId="111FFF2E" w14:textId="531407A0" w:rsidR="003606CA" w:rsidRPr="003606CA" w:rsidRDefault="003606CA" w:rsidP="009F3BEE">
      <w:pPr>
        <w:spacing w:before="240" w:after="120"/>
        <w:jc w:val="both"/>
        <w:rPr>
          <w:u w:val="single"/>
          <w:lang w:val="en-GB"/>
        </w:rPr>
      </w:pPr>
      <w:r w:rsidRPr="003606CA">
        <w:rPr>
          <w:u w:val="single"/>
          <w:lang w:val="en-GB"/>
        </w:rPr>
        <w:t>Outlet Flow Rates in Use</w:t>
      </w:r>
    </w:p>
    <w:p w14:paraId="6CDA50E4" w14:textId="58754EF9" w:rsidR="00481BC5" w:rsidRPr="00481BC5" w:rsidRDefault="003606CA" w:rsidP="009F3BEE">
      <w:pPr>
        <w:spacing w:before="240" w:after="120"/>
        <w:jc w:val="both"/>
        <w:rPr>
          <w:rFonts w:cstheme="minorHAnsi"/>
          <w:lang w:val="en-GB"/>
        </w:rPr>
      </w:pPr>
      <w:r>
        <w:rPr>
          <w:lang w:val="en-GB"/>
        </w:rPr>
        <w:t>It should be noted that the flow rate</w:t>
      </w:r>
      <w:r w:rsidR="00790F6A">
        <w:rPr>
          <w:lang w:val="en-GB"/>
        </w:rPr>
        <w:t xml:space="preserve"> values </w:t>
      </w:r>
      <w:r>
        <w:rPr>
          <w:lang w:val="en-GB"/>
        </w:rPr>
        <w:t xml:space="preserve">cited above </w:t>
      </w:r>
      <w:r w:rsidR="00790F6A">
        <w:rPr>
          <w:lang w:val="en-GB"/>
        </w:rPr>
        <w:t xml:space="preserve">are the </w:t>
      </w:r>
      <w:r w:rsidR="00790F6A" w:rsidRPr="003606CA">
        <w:rPr>
          <w:i/>
          <w:iCs/>
          <w:lang w:val="en-GB"/>
        </w:rPr>
        <w:t>maximum</w:t>
      </w:r>
      <w:r w:rsidR="00790F6A">
        <w:rPr>
          <w:lang w:val="en-GB"/>
        </w:rPr>
        <w:t xml:space="preserve"> </w:t>
      </w:r>
      <w:r w:rsidR="008F0AD3">
        <w:rPr>
          <w:lang w:val="en-GB"/>
        </w:rPr>
        <w:t xml:space="preserve">values for the outlets, when fully </w:t>
      </w:r>
      <w:r w:rsidR="008F0AD3" w:rsidRPr="00481BC5">
        <w:rPr>
          <w:rFonts w:cstheme="minorHAnsi"/>
          <w:lang w:val="en-GB"/>
        </w:rPr>
        <w:t xml:space="preserve">open. In practice, residents will rarely open taps fully during use – particularly in WHBs and kitchen sinks. </w:t>
      </w:r>
    </w:p>
    <w:p w14:paraId="5307811E" w14:textId="4F259EB5" w:rsidR="009F3BEE" w:rsidRDefault="00270D2B" w:rsidP="00D96754">
      <w:pPr>
        <w:pStyle w:val="ListParagraph"/>
        <w:numPr>
          <w:ilvl w:val="0"/>
          <w:numId w:val="5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481BC5">
        <w:rPr>
          <w:rFonts w:asciiTheme="minorHAnsi" w:hAnsiTheme="minorHAnsi" w:cstheme="minorHAnsi"/>
          <w:sz w:val="22"/>
          <w:szCs w:val="22"/>
        </w:rPr>
        <w:t>During hand washing, it is entirely possible that a resident would open a tap at 40%-50%.</w:t>
      </w:r>
    </w:p>
    <w:p w14:paraId="71466ECD" w14:textId="2AEE8389" w:rsidR="00481BC5" w:rsidRPr="00481BC5" w:rsidRDefault="00481BC5" w:rsidP="00D96754">
      <w:pPr>
        <w:pStyle w:val="ListParagraph"/>
        <w:numPr>
          <w:ilvl w:val="0"/>
          <w:numId w:val="5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During </w:t>
      </w:r>
      <w:r w:rsidR="000B3F59">
        <w:rPr>
          <w:rFonts w:asciiTheme="minorHAnsi" w:hAnsiTheme="minorHAnsi" w:cstheme="minorHAnsi"/>
          <w:sz w:val="22"/>
          <w:szCs w:val="22"/>
        </w:rPr>
        <w:t xml:space="preserve">manual dish washing, residents often </w:t>
      </w:r>
      <w:r w:rsidR="00930399">
        <w:rPr>
          <w:rFonts w:asciiTheme="minorHAnsi" w:hAnsiTheme="minorHAnsi" w:cstheme="minorHAnsi"/>
          <w:sz w:val="22"/>
          <w:szCs w:val="22"/>
        </w:rPr>
        <w:t>partially fill the sink with hot water, then close the tap to a trickle to enable a rinse of dishes before being put into a rack.</w:t>
      </w:r>
    </w:p>
    <w:p w14:paraId="27427694" w14:textId="545C2407" w:rsidR="00906A0A" w:rsidRDefault="00351BF9" w:rsidP="009F3BE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If we consider </w:t>
      </w:r>
      <w:r w:rsidR="000F3019">
        <w:rPr>
          <w:lang w:val="en-GB"/>
        </w:rPr>
        <w:t xml:space="preserve">40% of 4 l/min for hand washing, this equates to </w:t>
      </w:r>
      <w:r w:rsidR="00A91775">
        <w:rPr>
          <w:lang w:val="en-GB"/>
        </w:rPr>
        <w:t xml:space="preserve">1.6 l/min. </w:t>
      </w:r>
      <w:r w:rsidR="006B4D96">
        <w:rPr>
          <w:lang w:val="en-GB"/>
        </w:rPr>
        <w:t>This would be a mixed down flow, to enable washing.</w:t>
      </w:r>
    </w:p>
    <w:p w14:paraId="6E40005F" w14:textId="0F8EBAFE" w:rsidR="00790F6A" w:rsidRPr="009F3BEE" w:rsidRDefault="00906A0A" w:rsidP="009F3BEE">
      <w:pPr>
        <w:spacing w:before="240" w:after="120"/>
        <w:jc w:val="both"/>
        <w:rPr>
          <w:lang w:val="en-GB"/>
        </w:rPr>
      </w:pPr>
      <w:r>
        <w:rPr>
          <w:lang w:val="en-GB"/>
        </w:rPr>
        <w:t>Conversely 20% of flow (for a trickle) at a 6 l/min kitchen sink would equate to</w:t>
      </w:r>
      <w:r w:rsidR="00A91775">
        <w:rPr>
          <w:lang w:val="en-GB"/>
        </w:rPr>
        <w:t xml:space="preserve"> </w:t>
      </w:r>
      <w:r>
        <w:rPr>
          <w:lang w:val="en-GB"/>
        </w:rPr>
        <w:t xml:space="preserve">1.2 l/min. </w:t>
      </w:r>
    </w:p>
    <w:p w14:paraId="61F13B48" w14:textId="641FB7C4" w:rsidR="009F3BEE" w:rsidRPr="00723D39" w:rsidRDefault="00D0665A" w:rsidP="009F3BEE">
      <w:pPr>
        <w:spacing w:before="240" w:after="120"/>
        <w:jc w:val="both"/>
        <w:rPr>
          <w:u w:val="single"/>
          <w:lang w:val="en-GB"/>
        </w:rPr>
      </w:pPr>
      <w:r>
        <w:rPr>
          <w:u w:val="single"/>
          <w:lang w:val="en-GB"/>
        </w:rPr>
        <w:t xml:space="preserve">DHW Delivery Flow Rates Given Mix Down </w:t>
      </w:r>
    </w:p>
    <w:p w14:paraId="7CB04B86" w14:textId="74BC36F3" w:rsidR="009F3BEE" w:rsidRDefault="00D0665A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The flow rates considered above are the flow rates </w:t>
      </w:r>
      <w:r w:rsidRPr="00D0665A">
        <w:rPr>
          <w:i/>
          <w:iCs/>
          <w:lang w:val="en-GB"/>
        </w:rPr>
        <w:t>from</w:t>
      </w:r>
      <w:r>
        <w:rPr>
          <w:lang w:val="en-GB"/>
        </w:rPr>
        <w:t xml:space="preserve"> the tap, once there has been a mix down. </w:t>
      </w:r>
      <w:r w:rsidR="00ED6BF9">
        <w:rPr>
          <w:lang w:val="en-GB"/>
        </w:rPr>
        <w:t xml:space="preserve">In order to calculate the likely flow rates, we need to take into consideration both the DHW delivery temperature and the </w:t>
      </w:r>
      <w:r w:rsidR="005B61A2">
        <w:rPr>
          <w:lang w:val="en-GB"/>
        </w:rPr>
        <w:t>CWS temperature.</w:t>
      </w:r>
    </w:p>
    <w:p w14:paraId="7395046E" w14:textId="146CC58A" w:rsidR="005B61A2" w:rsidRDefault="005B61A2" w:rsidP="00D96754">
      <w:pPr>
        <w:pStyle w:val="ListParagraph"/>
        <w:numPr>
          <w:ilvl w:val="0"/>
          <w:numId w:val="6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 w:rsidRPr="00C13A65">
        <w:rPr>
          <w:rFonts w:asciiTheme="minorHAnsi" w:hAnsiTheme="minorHAnsi" w:cstheme="minorHAnsi"/>
          <w:sz w:val="22"/>
          <w:szCs w:val="22"/>
        </w:rPr>
        <w:t xml:space="preserve">For DHW temperature, we can use 50°C, as per </w:t>
      </w:r>
      <w:r w:rsidR="00C13A65" w:rsidRPr="00C13A65">
        <w:rPr>
          <w:rFonts w:asciiTheme="minorHAnsi" w:hAnsiTheme="minorHAnsi" w:cstheme="minorHAnsi"/>
          <w:sz w:val="22"/>
          <w:szCs w:val="22"/>
        </w:rPr>
        <w:t>Assumptions 17 and 18.</w:t>
      </w:r>
    </w:p>
    <w:p w14:paraId="2BE2F29C" w14:textId="31DC6342" w:rsidR="00C13A65" w:rsidRDefault="00C13A65" w:rsidP="00D96754">
      <w:pPr>
        <w:pStyle w:val="ListParagraph"/>
        <w:numPr>
          <w:ilvl w:val="0"/>
          <w:numId w:val="6"/>
        </w:numPr>
        <w:spacing w:before="24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For CWS temperature, we need to </w:t>
      </w:r>
      <w:r w:rsidR="00F378EF">
        <w:rPr>
          <w:rFonts w:asciiTheme="minorHAnsi" w:hAnsiTheme="minorHAnsi" w:cstheme="minorHAnsi"/>
          <w:sz w:val="22"/>
          <w:szCs w:val="22"/>
        </w:rPr>
        <w:t>consider</w:t>
      </w:r>
      <w:r>
        <w:rPr>
          <w:rFonts w:asciiTheme="minorHAnsi" w:hAnsiTheme="minorHAnsi" w:cstheme="minorHAnsi"/>
          <w:sz w:val="22"/>
          <w:szCs w:val="22"/>
        </w:rPr>
        <w:t xml:space="preserve"> the variation in temperature over the course of the year</w:t>
      </w:r>
      <w:r w:rsidR="00FC674A">
        <w:rPr>
          <w:rFonts w:asciiTheme="minorHAnsi" w:hAnsiTheme="minorHAnsi" w:cstheme="minorHAnsi"/>
          <w:sz w:val="22"/>
          <w:szCs w:val="22"/>
        </w:rPr>
        <w:t xml:space="preserve">, as this will impact upon </w:t>
      </w:r>
      <w:r w:rsidR="00F378EF">
        <w:rPr>
          <w:rFonts w:asciiTheme="minorHAnsi" w:hAnsiTheme="minorHAnsi" w:cstheme="minorHAnsi"/>
          <w:sz w:val="22"/>
          <w:szCs w:val="22"/>
        </w:rPr>
        <w:t xml:space="preserve">the DHW supply required. Based on </w:t>
      </w:r>
      <w:r w:rsidR="00C03FE8">
        <w:rPr>
          <w:rFonts w:asciiTheme="minorHAnsi" w:hAnsiTheme="minorHAnsi" w:cstheme="minorHAnsi"/>
          <w:sz w:val="22"/>
          <w:szCs w:val="22"/>
        </w:rPr>
        <w:t xml:space="preserve">the figures in </w:t>
      </w:r>
      <w:r w:rsidR="00CB6D04">
        <w:rPr>
          <w:rFonts w:asciiTheme="minorHAnsi" w:hAnsiTheme="minorHAnsi" w:cstheme="minorHAnsi"/>
          <w:sz w:val="22"/>
          <w:szCs w:val="22"/>
        </w:rPr>
        <w:t>Table 4 of the SAP CONSP:08</w:t>
      </w:r>
      <w:r w:rsidR="00CB6D04">
        <w:rPr>
          <w:rFonts w:asciiTheme="minorHAnsi" w:hAnsiTheme="minorHAnsi" w:cstheme="minorHAnsi"/>
          <w:sz w:val="22"/>
          <w:szCs w:val="22"/>
          <w:vertAlign w:val="superscript"/>
        </w:rPr>
        <w:t xml:space="preserve">3 </w:t>
      </w:r>
      <w:r w:rsidR="00CB6D04">
        <w:rPr>
          <w:rFonts w:asciiTheme="minorHAnsi" w:hAnsiTheme="minorHAnsi" w:cstheme="minorHAnsi"/>
          <w:sz w:val="22"/>
          <w:szCs w:val="22"/>
        </w:rPr>
        <w:t>the range in expected CWS temperature is 11</w:t>
      </w:r>
      <w:r w:rsidR="004B4F56">
        <w:rPr>
          <w:rFonts w:cstheme="minorHAnsi"/>
          <w:sz w:val="22"/>
          <w:szCs w:val="22"/>
        </w:rPr>
        <w:t>°</w:t>
      </w:r>
      <w:r w:rsidR="004B4F56">
        <w:rPr>
          <w:rFonts w:asciiTheme="minorHAnsi" w:hAnsiTheme="minorHAnsi" w:cstheme="minorHAnsi"/>
          <w:sz w:val="22"/>
          <w:szCs w:val="22"/>
        </w:rPr>
        <w:t>C on average in winter to 21</w:t>
      </w:r>
      <w:r w:rsidR="004B4F56">
        <w:rPr>
          <w:rFonts w:cstheme="minorHAnsi"/>
          <w:sz w:val="22"/>
          <w:szCs w:val="22"/>
        </w:rPr>
        <w:t>°</w:t>
      </w:r>
      <w:r w:rsidR="004B4F56">
        <w:rPr>
          <w:rFonts w:asciiTheme="minorHAnsi" w:hAnsiTheme="minorHAnsi" w:cstheme="minorHAnsi"/>
          <w:sz w:val="22"/>
          <w:szCs w:val="22"/>
        </w:rPr>
        <w:t xml:space="preserve">C </w:t>
      </w:r>
      <w:r w:rsidR="00DD7D85">
        <w:rPr>
          <w:rFonts w:asciiTheme="minorHAnsi" w:hAnsiTheme="minorHAnsi" w:cstheme="minorHAnsi"/>
          <w:sz w:val="22"/>
          <w:szCs w:val="22"/>
        </w:rPr>
        <w:t>on average in summer.</w:t>
      </w:r>
    </w:p>
    <w:p w14:paraId="00C283A1" w14:textId="6B4F1D17" w:rsidR="00971610" w:rsidRDefault="00A04B21" w:rsidP="003C7EE0">
      <w:pPr>
        <w:spacing w:before="240" w:after="120"/>
        <w:jc w:val="both"/>
        <w:rPr>
          <w:rFonts w:cstheme="minorHAnsi"/>
        </w:rPr>
      </w:pPr>
      <w:r>
        <w:rPr>
          <w:rFonts w:cstheme="minorHAnsi"/>
        </w:rPr>
        <w:t>Tables 1 and 2</w:t>
      </w:r>
      <w:r w:rsidR="003C7EE0">
        <w:rPr>
          <w:rFonts w:cstheme="minorHAnsi"/>
        </w:rPr>
        <w:t xml:space="preserve"> below shows the required DHW supply flow rate</w:t>
      </w:r>
      <w:r w:rsidR="00E563F4">
        <w:rPr>
          <w:rFonts w:cstheme="minorHAnsi"/>
        </w:rPr>
        <w:t xml:space="preserve"> in l/s</w:t>
      </w:r>
      <w:r w:rsidR="003C7EE0">
        <w:rPr>
          <w:rFonts w:cstheme="minorHAnsi"/>
        </w:rPr>
        <w:t xml:space="preserve"> </w:t>
      </w:r>
      <w:r w:rsidR="00E563F4">
        <w:rPr>
          <w:rFonts w:cstheme="minorHAnsi"/>
        </w:rPr>
        <w:t xml:space="preserve">for different % tap opening, given different </w:t>
      </w:r>
      <w:proofErr w:type="gramStart"/>
      <w:r w:rsidR="00E563F4">
        <w:rPr>
          <w:rFonts w:cstheme="minorHAnsi"/>
        </w:rPr>
        <w:t>cold water</w:t>
      </w:r>
      <w:proofErr w:type="gramEnd"/>
      <w:r w:rsidR="00E563F4">
        <w:rPr>
          <w:rFonts w:cstheme="minorHAnsi"/>
        </w:rPr>
        <w:t xml:space="preserve"> supply temperatures. </w:t>
      </w:r>
      <w:r w:rsidR="00C21094">
        <w:rPr>
          <w:rFonts w:cstheme="minorHAnsi"/>
        </w:rPr>
        <w:t>As can be seen,</w:t>
      </w:r>
      <w:r w:rsidR="00A769C8">
        <w:rPr>
          <w:rFonts w:cstheme="minorHAnsi"/>
        </w:rPr>
        <w:t xml:space="preserve"> a WHB with </w:t>
      </w:r>
      <w:proofErr w:type="spellStart"/>
      <w:proofErr w:type="gramStart"/>
      <w:r w:rsidR="00A769C8">
        <w:rPr>
          <w:rFonts w:cstheme="minorHAnsi"/>
        </w:rPr>
        <w:t>a</w:t>
      </w:r>
      <w:proofErr w:type="spellEnd"/>
      <w:proofErr w:type="gramEnd"/>
      <w:r w:rsidR="00A769C8">
        <w:rPr>
          <w:rFonts w:cstheme="minorHAnsi"/>
        </w:rPr>
        <w:t xml:space="preserve"> outlet flow of 4 l/min </w:t>
      </w:r>
      <w:r w:rsidR="003715DE">
        <w:rPr>
          <w:rFonts w:cstheme="minorHAnsi"/>
        </w:rPr>
        <w:t>operating at 40%-50% of maximum flow, which could be considered to be</w:t>
      </w:r>
      <w:r w:rsidR="00EE184D">
        <w:rPr>
          <w:rFonts w:cstheme="minorHAnsi"/>
        </w:rPr>
        <w:t xml:space="preserve"> within the range of</w:t>
      </w:r>
      <w:r w:rsidR="003715DE">
        <w:rPr>
          <w:rFonts w:cstheme="minorHAnsi"/>
        </w:rPr>
        <w:t xml:space="preserve"> normal use, would have</w:t>
      </w:r>
      <w:r w:rsidR="00AA1A72">
        <w:rPr>
          <w:rFonts w:cstheme="minorHAnsi"/>
        </w:rPr>
        <w:t xml:space="preserve"> a flow rate of c.0.02 l/min.</w:t>
      </w:r>
    </w:p>
    <w:p w14:paraId="415941C7" w14:textId="1A9D1B39" w:rsidR="00517544" w:rsidRDefault="00A04B21" w:rsidP="003C7EE0">
      <w:pPr>
        <w:spacing w:before="240" w:after="120"/>
        <w:jc w:val="both"/>
        <w:rPr>
          <w:rFonts w:cstheme="minorHAnsi"/>
        </w:rPr>
      </w:pPr>
      <w:r>
        <w:rPr>
          <w:rFonts w:cstheme="minorHAnsi"/>
        </w:rPr>
        <w:t>Co</w:t>
      </w:r>
      <w:r w:rsidR="00517544">
        <w:rPr>
          <w:rFonts w:cstheme="minorHAnsi"/>
        </w:rPr>
        <w:t xml:space="preserve">nversely, with a 3 l/min outlet </w:t>
      </w:r>
      <w:r w:rsidR="00673F97">
        <w:rPr>
          <w:rFonts w:cstheme="minorHAnsi"/>
        </w:rPr>
        <w:t xml:space="preserve">flow rate, opening the tap 40%-50% would </w:t>
      </w:r>
      <w:r w:rsidR="000912EC">
        <w:rPr>
          <w:rFonts w:cstheme="minorHAnsi"/>
        </w:rPr>
        <w:t xml:space="preserve">require a rate of between 0.1 l/s to </w:t>
      </w:r>
      <w:r w:rsidR="00484400">
        <w:rPr>
          <w:rFonts w:cstheme="minorHAnsi"/>
        </w:rPr>
        <w:t xml:space="preserve">0.2 l/s dependent on the time of year, with lower flow rates in the summer months. </w:t>
      </w:r>
    </w:p>
    <w:p w14:paraId="182A27B6" w14:textId="700477C5" w:rsidR="00BB1431" w:rsidRPr="003C7EE0" w:rsidRDefault="00BB1431" w:rsidP="003C7EE0">
      <w:pPr>
        <w:spacing w:before="240" w:after="120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With respect to the manual dishwashing case, described above, </w:t>
      </w:r>
      <w:r w:rsidR="00AD7432">
        <w:rPr>
          <w:rFonts w:cstheme="minorHAnsi"/>
        </w:rPr>
        <w:t>where the tap is reduced to a trickle for rinsing, it can be expected that this will be a</w:t>
      </w:r>
      <w:r w:rsidR="008D6103">
        <w:rPr>
          <w:rFonts w:cstheme="minorHAnsi"/>
        </w:rPr>
        <w:t xml:space="preserve">t maximum temperature. As such, a 20% trickle flow for a 6 l/min kitchen tap would equate to </w:t>
      </w:r>
      <w:r w:rsidR="00E12CE3">
        <w:rPr>
          <w:rFonts w:cstheme="minorHAnsi"/>
        </w:rPr>
        <w:t>1.2 l/min of hot water supply, which is 0.02 l/s.</w:t>
      </w:r>
    </w:p>
    <w:p w14:paraId="3FA4DD2F" w14:textId="30E77747" w:rsidR="001318CD" w:rsidRPr="003C7EE0" w:rsidRDefault="00B429AC" w:rsidP="0068185E">
      <w:pPr>
        <w:spacing w:before="240" w:after="120"/>
        <w:jc w:val="both"/>
        <w:rPr>
          <w:u w:val="single"/>
          <w:lang w:val="en-GB"/>
        </w:rPr>
      </w:pPr>
      <w:r w:rsidRPr="003C7EE0">
        <w:rPr>
          <w:u w:val="single"/>
          <w:lang w:val="en-GB"/>
        </w:rPr>
        <w:t>Table 1: DHW supply flow rate (l/s</w:t>
      </w:r>
      <w:r w:rsidR="00E713F8">
        <w:rPr>
          <w:u w:val="single"/>
          <w:lang w:val="en-GB"/>
        </w:rPr>
        <w:t xml:space="preserve"> and l/min</w:t>
      </w:r>
      <w:r w:rsidRPr="003C7EE0">
        <w:rPr>
          <w:u w:val="single"/>
          <w:lang w:val="en-GB"/>
        </w:rPr>
        <w:t xml:space="preserve">), given 4 l/m outlet flow rate, </w:t>
      </w:r>
      <w:r w:rsidR="00E55F87">
        <w:rPr>
          <w:u w:val="single"/>
          <w:lang w:val="en-GB"/>
        </w:rPr>
        <w:t>by %</w:t>
      </w:r>
      <w:r w:rsidRPr="003C7EE0">
        <w:rPr>
          <w:u w:val="single"/>
          <w:lang w:val="en-GB"/>
        </w:rPr>
        <w:t xml:space="preserve"> tap opening and CWS temp</w:t>
      </w:r>
    </w:p>
    <w:tbl>
      <w:tblPr>
        <w:tblW w:w="7088" w:type="dxa"/>
        <w:tblLook w:val="04A0" w:firstRow="1" w:lastRow="0" w:firstColumn="1" w:lastColumn="0" w:noHBand="0" w:noVBand="1"/>
      </w:tblPr>
      <w:tblGrid>
        <w:gridCol w:w="1620"/>
        <w:gridCol w:w="1357"/>
        <w:gridCol w:w="1276"/>
        <w:gridCol w:w="1276"/>
        <w:gridCol w:w="1559"/>
      </w:tblGrid>
      <w:tr w:rsidR="00CF6C52" w:rsidRPr="00F66FF4" w14:paraId="5658E971" w14:textId="6F1EDA49" w:rsidTr="00CF6C52">
        <w:trPr>
          <w:trHeight w:val="300"/>
        </w:trPr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02BE" w14:textId="77777777" w:rsidR="00CF6C52" w:rsidRPr="00F66FF4" w:rsidRDefault="00CF6C52" w:rsidP="00CF6C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50C5FBC7" w14:textId="5035EEE4" w:rsidR="00CF6C52" w:rsidRPr="00F66FF4" w:rsidRDefault="00CF6C52" w:rsidP="00CF6C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DHW supply flow rate l/s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bottom"/>
          </w:tcPr>
          <w:p w14:paraId="0DA91144" w14:textId="1CA80694" w:rsidR="00CF6C52" w:rsidRPr="00F66FF4" w:rsidRDefault="00CF6C52" w:rsidP="00CF6C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DHW supply flow rate l/min</w:t>
            </w:r>
          </w:p>
        </w:tc>
      </w:tr>
      <w:tr w:rsidR="00CF6C52" w:rsidRPr="00F66FF4" w14:paraId="7EB75968" w14:textId="77777777" w:rsidTr="00CF6C52">
        <w:trPr>
          <w:trHeight w:val="330"/>
        </w:trPr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3CD63" w14:textId="77777777" w:rsidR="00CF6C52" w:rsidRPr="00F66FF4" w:rsidRDefault="00CF6C52" w:rsidP="00CF6C52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</w:tcPr>
          <w:p w14:paraId="277FAEDE" w14:textId="0AC730AE" w:rsidR="00CF6C52" w:rsidRPr="00F66FF4" w:rsidRDefault="00CF6C52" w:rsidP="00CF6C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CWS temp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</w:tcPr>
          <w:p w14:paraId="6BB0F517" w14:textId="0D4CD748" w:rsidR="00CF6C52" w:rsidRPr="00F66FF4" w:rsidRDefault="00CF6C52" w:rsidP="00CF6C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CWS temp</w:t>
            </w:r>
          </w:p>
        </w:tc>
      </w:tr>
      <w:tr w:rsidR="00CF6C52" w:rsidRPr="00F66FF4" w14:paraId="764A92EE" w14:textId="642E45C0" w:rsidTr="00CF6C52">
        <w:trPr>
          <w:trHeight w:val="33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C008053" w14:textId="77777777" w:rsidR="00CF6C52" w:rsidRPr="00F66FF4" w:rsidRDefault="00CF6C52" w:rsidP="00CF6C52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Tap % Open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2A47B5B0" w14:textId="77777777" w:rsidR="00CF6C52" w:rsidRPr="00F66FF4" w:rsidRDefault="00CF6C52" w:rsidP="00CF6C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11</w:t>
            </w:r>
            <w:r w:rsidRPr="00F66FF4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°</w:t>
            </w: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1C11E9FF" w14:textId="77777777" w:rsidR="00CF6C52" w:rsidRPr="00F66FF4" w:rsidRDefault="00CF6C52" w:rsidP="00CF6C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21</w:t>
            </w:r>
            <w:r w:rsidRPr="00F66FF4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°</w:t>
            </w: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</w:tcPr>
          <w:p w14:paraId="074F0460" w14:textId="3375EC19" w:rsidR="00CF6C52" w:rsidRPr="00F66FF4" w:rsidRDefault="00CF6C52" w:rsidP="00CF6C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11</w:t>
            </w:r>
            <w:r w:rsidRPr="00F66FF4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°</w:t>
            </w: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</w:tcPr>
          <w:p w14:paraId="5E36B229" w14:textId="4DEF5991" w:rsidR="00CF6C52" w:rsidRPr="00F66FF4" w:rsidRDefault="00CF6C52" w:rsidP="00CF6C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21</w:t>
            </w:r>
            <w:r w:rsidRPr="00F66FF4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°</w:t>
            </w: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C</w:t>
            </w:r>
          </w:p>
        </w:tc>
      </w:tr>
      <w:tr w:rsidR="00CF6C52" w:rsidRPr="00F66FF4" w14:paraId="1D392216" w14:textId="4CEC3AF5" w:rsidTr="00CF6C52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B69D" w14:textId="77777777" w:rsidR="00CF6C52" w:rsidRPr="00F66FF4" w:rsidRDefault="00CF6C52" w:rsidP="00CF6C52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100%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6C25" w14:textId="0AFE2D84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0.05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8960" w14:textId="5424C85D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0.04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AA65C5" w14:textId="6F2C7998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</w:rPr>
              <w:t xml:space="preserve">2.97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D9EA58B" w14:textId="5491A146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</w:rPr>
              <w:t>2.62</w:t>
            </w:r>
          </w:p>
        </w:tc>
      </w:tr>
      <w:tr w:rsidR="00CF6C52" w:rsidRPr="00F66FF4" w14:paraId="555AC581" w14:textId="2842711F" w:rsidTr="00CF6C52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6349" w14:textId="77777777" w:rsidR="00CF6C52" w:rsidRPr="00F66FF4" w:rsidRDefault="00CF6C52" w:rsidP="00CF6C52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80%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B153" w14:textId="22278675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0.04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D93C6" w14:textId="615DF4D8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0.03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FF4415" w14:textId="53E97F2F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</w:rPr>
              <w:t xml:space="preserve">2.38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FA7254" w14:textId="71E4E7BF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</w:rPr>
              <w:t>2.10</w:t>
            </w:r>
          </w:p>
        </w:tc>
      </w:tr>
      <w:tr w:rsidR="00CF6C52" w:rsidRPr="00F66FF4" w14:paraId="7B89742E" w14:textId="4E68826E" w:rsidTr="00CF6C52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7D702" w14:textId="77777777" w:rsidR="00CF6C52" w:rsidRPr="00F66FF4" w:rsidRDefault="00CF6C52" w:rsidP="00CF6C52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60%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0343A" w14:textId="6C86E11A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0.03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0805E" w14:textId="0D768C19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0.0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3F86C1" w14:textId="75EBE53E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</w:rPr>
              <w:t xml:space="preserve">1.78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609EF0" w14:textId="759B8B1C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</w:rPr>
              <w:t>1.57</w:t>
            </w:r>
          </w:p>
        </w:tc>
      </w:tr>
      <w:tr w:rsidR="00CF6C52" w:rsidRPr="00F66FF4" w14:paraId="4D7377B1" w14:textId="06967B91" w:rsidTr="00CF6C52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0757" w14:textId="77777777" w:rsidR="00CF6C52" w:rsidRPr="00F66FF4" w:rsidRDefault="00CF6C52" w:rsidP="00CF6C52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50%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6D8B" w14:textId="17E9530E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0.02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85EA4" w14:textId="6D240DDC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0.02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B49CE42" w14:textId="75C66C70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</w:rPr>
              <w:t xml:space="preserve">1.49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0F2099" w14:textId="6B34B3C5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</w:rPr>
              <w:t>1.31</w:t>
            </w:r>
          </w:p>
        </w:tc>
      </w:tr>
      <w:tr w:rsidR="00CF6C52" w:rsidRPr="00F66FF4" w14:paraId="5A7DB8CC" w14:textId="461AAEB0" w:rsidTr="00CF6C52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B165" w14:textId="77777777" w:rsidR="00CF6C52" w:rsidRPr="00F66FF4" w:rsidRDefault="00CF6C52" w:rsidP="00CF6C52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40%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4ACE" w14:textId="1B349F98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0.02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95E1" w14:textId="4CDB48A2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0.0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BF8CB2F" w14:textId="583AFAB3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</w:rPr>
              <w:t xml:space="preserve">1.19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8AC7F84" w14:textId="5FE17D7B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</w:rPr>
              <w:t>1.05</w:t>
            </w:r>
          </w:p>
        </w:tc>
      </w:tr>
      <w:tr w:rsidR="00CF6C52" w:rsidRPr="00F66FF4" w14:paraId="36727927" w14:textId="627DAD11" w:rsidTr="00CF6C52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3EB5" w14:textId="77777777" w:rsidR="00CF6C52" w:rsidRPr="00F66FF4" w:rsidRDefault="00CF6C52" w:rsidP="00CF6C52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30%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5C01" w14:textId="137E5475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0.01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F5951" w14:textId="707ACBAA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0.01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2162C8" w14:textId="69B08229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</w:rPr>
              <w:t xml:space="preserve">0.89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654CA8" w14:textId="6897CDB2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</w:rPr>
              <w:t>0.79</w:t>
            </w:r>
          </w:p>
        </w:tc>
      </w:tr>
      <w:tr w:rsidR="00CF6C52" w:rsidRPr="00F66FF4" w14:paraId="53F01520" w14:textId="1BEF9BA9" w:rsidTr="00CF6C52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A967" w14:textId="77777777" w:rsidR="00CF6C52" w:rsidRPr="00F66FF4" w:rsidRDefault="00CF6C52" w:rsidP="00CF6C52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20%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5C543" w14:textId="31E43DAF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0.01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63F2" w14:textId="30C828BB" w:rsidR="00CF6C52" w:rsidRPr="00F66FF4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0</w:t>
            </w: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.0</w:t>
            </w: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3D6220" w14:textId="337E56A2" w:rsidR="00CF6C52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</w:rPr>
              <w:t xml:space="preserve">0.59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3359FE" w14:textId="22BB02BA" w:rsidR="00CF6C52" w:rsidRDefault="00CF6C52" w:rsidP="00CF6C52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</w:rPr>
              <w:t>0.52</w:t>
            </w:r>
          </w:p>
        </w:tc>
      </w:tr>
    </w:tbl>
    <w:p w14:paraId="6DFC76BD" w14:textId="660C1339" w:rsidR="00F66FF4" w:rsidRDefault="00F66FF4" w:rsidP="0068185E">
      <w:pPr>
        <w:spacing w:before="240" w:after="120"/>
        <w:jc w:val="both"/>
        <w:rPr>
          <w:lang w:val="en-GB"/>
        </w:rPr>
      </w:pPr>
    </w:p>
    <w:p w14:paraId="784A6E76" w14:textId="607188C7" w:rsidR="00A04B21" w:rsidRPr="00A04B21" w:rsidRDefault="00A04B21" w:rsidP="0068185E">
      <w:pPr>
        <w:spacing w:before="240" w:after="120"/>
        <w:jc w:val="both"/>
        <w:rPr>
          <w:u w:val="single"/>
          <w:lang w:val="en-GB"/>
        </w:rPr>
      </w:pPr>
      <w:r w:rsidRPr="003C7EE0">
        <w:rPr>
          <w:u w:val="single"/>
          <w:lang w:val="en-GB"/>
        </w:rPr>
        <w:t xml:space="preserve">Table </w:t>
      </w:r>
      <w:r>
        <w:rPr>
          <w:u w:val="single"/>
          <w:lang w:val="en-GB"/>
        </w:rPr>
        <w:t>2</w:t>
      </w:r>
      <w:r w:rsidRPr="003C7EE0">
        <w:rPr>
          <w:u w:val="single"/>
          <w:lang w:val="en-GB"/>
        </w:rPr>
        <w:t>: DHW supply flow rate (l/s</w:t>
      </w:r>
      <w:r>
        <w:rPr>
          <w:u w:val="single"/>
          <w:lang w:val="en-GB"/>
        </w:rPr>
        <w:t xml:space="preserve"> and l/min</w:t>
      </w:r>
      <w:r w:rsidRPr="003C7EE0">
        <w:rPr>
          <w:u w:val="single"/>
          <w:lang w:val="en-GB"/>
        </w:rPr>
        <w:t xml:space="preserve">), given </w:t>
      </w:r>
      <w:r>
        <w:rPr>
          <w:u w:val="single"/>
          <w:lang w:val="en-GB"/>
        </w:rPr>
        <w:t>3</w:t>
      </w:r>
      <w:r w:rsidRPr="003C7EE0">
        <w:rPr>
          <w:u w:val="single"/>
          <w:lang w:val="en-GB"/>
        </w:rPr>
        <w:t xml:space="preserve"> l/m outlet flow rate, </w:t>
      </w:r>
      <w:r>
        <w:rPr>
          <w:u w:val="single"/>
          <w:lang w:val="en-GB"/>
        </w:rPr>
        <w:t>by %</w:t>
      </w:r>
      <w:r w:rsidRPr="003C7EE0">
        <w:rPr>
          <w:u w:val="single"/>
          <w:lang w:val="en-GB"/>
        </w:rPr>
        <w:t xml:space="preserve"> tap opening and CWS temp</w:t>
      </w:r>
    </w:p>
    <w:tbl>
      <w:tblPr>
        <w:tblW w:w="7088" w:type="dxa"/>
        <w:tblLook w:val="04A0" w:firstRow="1" w:lastRow="0" w:firstColumn="1" w:lastColumn="0" w:noHBand="0" w:noVBand="1"/>
      </w:tblPr>
      <w:tblGrid>
        <w:gridCol w:w="1620"/>
        <w:gridCol w:w="1357"/>
        <w:gridCol w:w="1276"/>
        <w:gridCol w:w="1276"/>
        <w:gridCol w:w="1559"/>
      </w:tblGrid>
      <w:tr w:rsidR="003431D6" w:rsidRPr="00F66FF4" w14:paraId="313C5EE7" w14:textId="77777777" w:rsidTr="00CF6C52">
        <w:trPr>
          <w:trHeight w:val="300"/>
        </w:trPr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96F5A" w14:textId="77777777" w:rsidR="003431D6" w:rsidRPr="00F66FF4" w:rsidRDefault="003431D6" w:rsidP="00A17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6DA1A3D6" w14:textId="7D2D7E29" w:rsidR="003431D6" w:rsidRPr="00F66FF4" w:rsidRDefault="00CF6C52" w:rsidP="00A171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DHW supply flow rate l/s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</w:tcPr>
          <w:p w14:paraId="6D174845" w14:textId="50C94386" w:rsidR="003431D6" w:rsidRPr="00F66FF4" w:rsidRDefault="00CF6C52" w:rsidP="00A171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DHW supply flow rate l/min</w:t>
            </w:r>
          </w:p>
        </w:tc>
      </w:tr>
      <w:tr w:rsidR="00CF6C52" w:rsidRPr="00F66FF4" w14:paraId="7DFEBDE1" w14:textId="77777777" w:rsidTr="00CF6C52">
        <w:trPr>
          <w:trHeight w:val="330"/>
        </w:trPr>
        <w:tc>
          <w:tcPr>
            <w:tcW w:w="16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0D7D0" w14:textId="77777777" w:rsidR="00CF6C52" w:rsidRPr="00F66FF4" w:rsidRDefault="00CF6C52" w:rsidP="00A171E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</w:tcPr>
          <w:p w14:paraId="435DE329" w14:textId="209DC885" w:rsidR="00CF6C52" w:rsidRPr="00F66FF4" w:rsidRDefault="00CF6C52" w:rsidP="00A171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CWS temp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</w:tcPr>
          <w:p w14:paraId="5362525E" w14:textId="558CE0DD" w:rsidR="00CF6C52" w:rsidRPr="00F66FF4" w:rsidRDefault="00CF6C52" w:rsidP="00A171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CWS temp</w:t>
            </w:r>
          </w:p>
        </w:tc>
      </w:tr>
      <w:tr w:rsidR="003431D6" w:rsidRPr="00F66FF4" w14:paraId="58F72692" w14:textId="77777777" w:rsidTr="00CF6C52">
        <w:trPr>
          <w:trHeight w:val="33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41183AE" w14:textId="77777777" w:rsidR="003431D6" w:rsidRPr="00F66FF4" w:rsidRDefault="003431D6" w:rsidP="00A171E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Tap % Open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5EF59A27" w14:textId="77777777" w:rsidR="003431D6" w:rsidRPr="00F66FF4" w:rsidRDefault="003431D6" w:rsidP="00A171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11</w:t>
            </w:r>
            <w:r w:rsidRPr="00F66FF4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°</w:t>
            </w: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14:paraId="0F27B266" w14:textId="77777777" w:rsidR="003431D6" w:rsidRPr="00F66FF4" w:rsidRDefault="003431D6" w:rsidP="00A171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21</w:t>
            </w:r>
            <w:r w:rsidRPr="00F66FF4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°</w:t>
            </w: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</w:tcPr>
          <w:p w14:paraId="00F39992" w14:textId="77777777" w:rsidR="003431D6" w:rsidRPr="00F66FF4" w:rsidRDefault="003431D6" w:rsidP="00A171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11</w:t>
            </w:r>
            <w:r w:rsidRPr="00F66FF4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°</w:t>
            </w: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</w:tcPr>
          <w:p w14:paraId="1C573774" w14:textId="77777777" w:rsidR="003431D6" w:rsidRPr="00F66FF4" w:rsidRDefault="003431D6" w:rsidP="00A171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21</w:t>
            </w:r>
            <w:r w:rsidRPr="00F66FF4">
              <w:rPr>
                <w:rFonts w:ascii="Trebuchet MS" w:eastAsia="Times New Roman" w:hAnsi="Trebuchet MS" w:cs="Calibri"/>
                <w:color w:val="000000"/>
                <w:lang w:val="en-GB" w:eastAsia="en-GB"/>
              </w:rPr>
              <w:t>°</w:t>
            </w: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C</w:t>
            </w:r>
          </w:p>
        </w:tc>
      </w:tr>
      <w:tr w:rsidR="00CE1950" w:rsidRPr="00F66FF4" w14:paraId="6EEB7EC0" w14:textId="77777777" w:rsidTr="00CF6C52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F94AF" w14:textId="77777777" w:rsidR="00CE1950" w:rsidRPr="00F66FF4" w:rsidRDefault="00CE1950" w:rsidP="00CE195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100%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47AD14" w14:textId="4F72D9DB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0.037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C7B840" w14:textId="54EC756C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0.033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F43CE0" w14:textId="525645E8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2.23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D03E1C" w14:textId="5DBE7299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1.97 </w:t>
            </w:r>
          </w:p>
        </w:tc>
      </w:tr>
      <w:tr w:rsidR="00CE1950" w:rsidRPr="00F66FF4" w14:paraId="1DD1AA37" w14:textId="77777777" w:rsidTr="00CF6C52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8FFF" w14:textId="77777777" w:rsidR="00CE1950" w:rsidRPr="00F66FF4" w:rsidRDefault="00CE1950" w:rsidP="00CE195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80%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2231A68" w14:textId="0A68E1A0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0.030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7B8C96B" w14:textId="615E35D7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0.026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13EC35" w14:textId="3ACF2A4E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1.78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597B07" w14:textId="0A9CBD9D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1.57 </w:t>
            </w:r>
          </w:p>
        </w:tc>
      </w:tr>
      <w:tr w:rsidR="00CE1950" w:rsidRPr="00F66FF4" w14:paraId="3B1FC9A0" w14:textId="77777777" w:rsidTr="00CF6C52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BE53" w14:textId="77777777" w:rsidR="00CE1950" w:rsidRPr="00F66FF4" w:rsidRDefault="00CE1950" w:rsidP="00CE195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60%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9412E6D" w14:textId="652EC4E7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0.022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49ECEE1" w14:textId="3C2A7B64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0.020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73924A" w14:textId="727CF28D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1.34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BFE0CB" w14:textId="38E51E11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1.18 </w:t>
            </w:r>
          </w:p>
        </w:tc>
      </w:tr>
      <w:tr w:rsidR="00CE1950" w:rsidRPr="00F66FF4" w14:paraId="795F1E2F" w14:textId="77777777" w:rsidTr="00CF6C52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DEF5" w14:textId="77777777" w:rsidR="00CE1950" w:rsidRPr="00F66FF4" w:rsidRDefault="00CE1950" w:rsidP="00CE195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50%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A24430E" w14:textId="6F861398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0.019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2D590F" w14:textId="7E9C264B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0.016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BE80A6" w14:textId="1551BBBC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1.12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5A1EE0" w14:textId="22E278E8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0.98 </w:t>
            </w:r>
          </w:p>
        </w:tc>
      </w:tr>
      <w:tr w:rsidR="00CE1950" w:rsidRPr="00F66FF4" w14:paraId="16E3C380" w14:textId="77777777" w:rsidTr="00CF6C52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F4B9" w14:textId="77777777" w:rsidR="00CE1950" w:rsidRPr="00F66FF4" w:rsidRDefault="00CE1950" w:rsidP="00CE195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40%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25A4821" w14:textId="27BEFD07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0.015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C8DFB8B" w14:textId="73F36358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0.013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F7F05F" w14:textId="6E6ACEC8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0.89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CD1D24" w14:textId="141C32AE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0.79 </w:t>
            </w:r>
          </w:p>
        </w:tc>
      </w:tr>
      <w:tr w:rsidR="00CE1950" w:rsidRPr="00F66FF4" w14:paraId="3DCF3515" w14:textId="77777777" w:rsidTr="00CF6C52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BBAC" w14:textId="77777777" w:rsidR="00CE1950" w:rsidRPr="00F66FF4" w:rsidRDefault="00CE1950" w:rsidP="00CE195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30%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5F9BD6" w14:textId="251865CE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0.011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4EA3F3A" w14:textId="7472CAA1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0.010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886FC8" w14:textId="5D0E38FA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0.67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353216" w14:textId="4C1429F6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0.59 </w:t>
            </w:r>
          </w:p>
        </w:tc>
      </w:tr>
      <w:tr w:rsidR="00CE1950" w:rsidRPr="00F66FF4" w14:paraId="37A7ECE8" w14:textId="77777777" w:rsidTr="00CF6C52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43E38" w14:textId="77777777" w:rsidR="00CE1950" w:rsidRPr="00F66FF4" w:rsidRDefault="00CE1950" w:rsidP="00CE1950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6FF4">
              <w:rPr>
                <w:rFonts w:ascii="Calibri" w:eastAsia="Times New Roman" w:hAnsi="Calibri" w:cs="Calibri"/>
                <w:color w:val="000000"/>
                <w:lang w:val="en-GB" w:eastAsia="en-GB"/>
              </w:rPr>
              <w:t>20%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3D125" w14:textId="14C313C5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0.007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B5A60" w14:textId="3F847B37" w:rsidR="00CE1950" w:rsidRPr="00F66FF4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0.007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86D7DD" w14:textId="081E606D" w:rsidR="00CE1950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0.45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3FB99" w14:textId="332F329B" w:rsidR="00CE1950" w:rsidRDefault="00CE1950" w:rsidP="00CE1950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629B7">
              <w:t xml:space="preserve"> 0.39 </w:t>
            </w:r>
          </w:p>
        </w:tc>
      </w:tr>
    </w:tbl>
    <w:p w14:paraId="56781B31" w14:textId="77777777" w:rsidR="006B0E40" w:rsidRDefault="006B0E40" w:rsidP="0068185E">
      <w:pPr>
        <w:spacing w:before="240" w:after="120"/>
        <w:jc w:val="both"/>
        <w:rPr>
          <w:lang w:val="en-GB"/>
        </w:rPr>
      </w:pPr>
    </w:p>
    <w:p w14:paraId="238D6A74" w14:textId="640A3E31" w:rsidR="003F5621" w:rsidRPr="003F5621" w:rsidRDefault="003F5621" w:rsidP="003F5621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 xml:space="preserve">Consideration </w:t>
      </w:r>
      <w:r w:rsidR="003A1121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BB1431">
        <w:rPr>
          <w:rFonts w:asciiTheme="minorHAnsi" w:hAnsiTheme="minorHAnsi" w:cstheme="minorHAnsi"/>
          <w:b/>
          <w:bCs/>
          <w:sz w:val="22"/>
          <w:szCs w:val="22"/>
        </w:rPr>
        <w:t>: Resident Feedback</w:t>
      </w:r>
    </w:p>
    <w:p w14:paraId="6CA1937D" w14:textId="3D9AE1F6" w:rsidR="00E12CE3" w:rsidRDefault="00FF1F10" w:rsidP="003F5621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The inability to deliver </w:t>
      </w:r>
      <w:r w:rsidR="002F2009">
        <w:rPr>
          <w:lang w:val="en-GB"/>
        </w:rPr>
        <w:t>DHW at low flow rates is a source of resident complaint. The author has had direct experience of this, with residents showing that “the boiler doesn’t work”</w:t>
      </w:r>
      <w:r w:rsidR="00AB7B36">
        <w:rPr>
          <w:lang w:val="en-GB"/>
        </w:rPr>
        <w:t xml:space="preserve"> when they are rinsing dishes – with a demonstration given of the rinsing technique described above.</w:t>
      </w:r>
    </w:p>
    <w:p w14:paraId="2104DD9A" w14:textId="43E7EA58" w:rsidR="00156E44" w:rsidRDefault="00AB7B36" w:rsidP="003F5621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This has particularly been </w:t>
      </w:r>
      <w:r w:rsidR="00074E87">
        <w:rPr>
          <w:lang w:val="en-GB"/>
        </w:rPr>
        <w:t xml:space="preserve">experienced across multiple sites, particularly </w:t>
      </w:r>
      <w:r w:rsidR="00D86F1F">
        <w:rPr>
          <w:lang w:val="en-GB"/>
        </w:rPr>
        <w:t>with one make of</w:t>
      </w:r>
      <w:r w:rsidR="00074E87">
        <w:rPr>
          <w:lang w:val="en-GB"/>
        </w:rPr>
        <w:t xml:space="preserve"> HIU that was not able to deliver DHW at a flow rate of </w:t>
      </w:r>
      <w:r w:rsidR="00CB1972">
        <w:rPr>
          <w:lang w:val="en-GB"/>
        </w:rPr>
        <w:t>below approx. 2 l/min.</w:t>
      </w:r>
    </w:p>
    <w:p w14:paraId="785CDC68" w14:textId="2C297283" w:rsidR="00925928" w:rsidRDefault="00CB1972" w:rsidP="003F5621">
      <w:pPr>
        <w:spacing w:before="240" w:after="120"/>
        <w:jc w:val="both"/>
        <w:rPr>
          <w:lang w:val="en-GB"/>
        </w:rPr>
      </w:pPr>
      <w:r>
        <w:rPr>
          <w:lang w:val="en-GB"/>
        </w:rPr>
        <w:t>As such, th</w:t>
      </w:r>
      <w:r w:rsidR="00917DA9">
        <w:rPr>
          <w:lang w:val="en-GB"/>
        </w:rPr>
        <w:t>e inability to deliver hot water at low flow rates is a</w:t>
      </w:r>
      <w:r w:rsidR="00D86F1F">
        <w:rPr>
          <w:lang w:val="en-GB"/>
        </w:rPr>
        <w:t xml:space="preserve">n issue </w:t>
      </w:r>
      <w:r w:rsidR="00A452FE">
        <w:rPr>
          <w:lang w:val="en-GB"/>
        </w:rPr>
        <w:t>has</w:t>
      </w:r>
      <w:r w:rsidR="00D86F1F">
        <w:rPr>
          <w:lang w:val="en-GB"/>
        </w:rPr>
        <w:t xml:space="preserve"> a negative impact on residents and</w:t>
      </w:r>
      <w:r w:rsidR="00A452FE">
        <w:rPr>
          <w:lang w:val="en-GB"/>
        </w:rPr>
        <w:t>, anecdotally,</w:t>
      </w:r>
      <w:r w:rsidR="00D86F1F">
        <w:rPr>
          <w:lang w:val="en-GB"/>
        </w:rPr>
        <w:t xml:space="preserve"> is a source of resident dissatisfaction</w:t>
      </w:r>
      <w:r w:rsidR="00A452FE">
        <w:rPr>
          <w:lang w:val="en-GB"/>
        </w:rPr>
        <w:t xml:space="preserve"> (noting that the author has had direct experience of this feedback).</w:t>
      </w:r>
    </w:p>
    <w:p w14:paraId="6DBEEDAA" w14:textId="7B86ED4C" w:rsidR="00D86F1F" w:rsidRDefault="00A452FE" w:rsidP="00EE385A">
      <w:pPr>
        <w:spacing w:before="240" w:after="120"/>
        <w:jc w:val="both"/>
        <w:rPr>
          <w:rFonts w:eastAsiaTheme="majorEastAsia" w:cstheme="minorHAnsi"/>
          <w:b/>
          <w:bCs/>
          <w:lang w:val="en-GB"/>
        </w:rPr>
      </w:pPr>
      <w:r>
        <w:rPr>
          <w:lang w:val="en-GB"/>
        </w:rPr>
        <w:lastRenderedPageBreak/>
        <w:t xml:space="preserve">It should be acknowledged, however, that </w:t>
      </w:r>
      <w:r w:rsidR="006F7AC4">
        <w:rPr>
          <w:lang w:val="en-GB"/>
        </w:rPr>
        <w:t xml:space="preserve">a literature search was unable to identify any </w:t>
      </w:r>
      <w:r w:rsidR="00FD0179">
        <w:rPr>
          <w:lang w:val="en-GB"/>
        </w:rPr>
        <w:t xml:space="preserve">referenceable </w:t>
      </w:r>
      <w:proofErr w:type="gramStart"/>
      <w:r w:rsidR="00FD0179">
        <w:rPr>
          <w:lang w:val="en-GB"/>
        </w:rPr>
        <w:t>third party</w:t>
      </w:r>
      <w:proofErr w:type="gramEnd"/>
      <w:r w:rsidR="00FD0179">
        <w:rPr>
          <w:lang w:val="en-GB"/>
        </w:rPr>
        <w:t xml:space="preserve"> studies that deal </w:t>
      </w:r>
      <w:r w:rsidR="006F7AC4">
        <w:rPr>
          <w:lang w:val="en-GB"/>
        </w:rPr>
        <w:t xml:space="preserve">with this issue. </w:t>
      </w:r>
    </w:p>
    <w:p w14:paraId="45D6824C" w14:textId="3315FE06" w:rsidR="006E4BB3" w:rsidRPr="003F5621" w:rsidRDefault="006E4BB3" w:rsidP="006E4BB3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 xml:space="preserve">Consideration </w:t>
      </w:r>
      <w:r w:rsidR="003A112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F1F10">
        <w:rPr>
          <w:rFonts w:asciiTheme="minorHAnsi" w:hAnsiTheme="minorHAnsi" w:cstheme="minorHAnsi"/>
          <w:b/>
          <w:bCs/>
          <w:sz w:val="22"/>
          <w:szCs w:val="22"/>
        </w:rPr>
        <w:t>: HIUs able to deliver stable DHW at 0.02 l/s</w:t>
      </w:r>
    </w:p>
    <w:p w14:paraId="08ED2611" w14:textId="0BD50121" w:rsidR="007A3BC5" w:rsidRDefault="007A3BC5" w:rsidP="006E4BB3">
      <w:pPr>
        <w:spacing w:before="240" w:after="120"/>
        <w:jc w:val="both"/>
        <w:rPr>
          <w:lang w:val="en-GB"/>
        </w:rPr>
      </w:pPr>
      <w:r>
        <w:rPr>
          <w:lang w:val="en-GB"/>
        </w:rPr>
        <w:t>Part of the push back against the low flow test from the market was</w:t>
      </w:r>
      <w:r w:rsidR="00BE37DA">
        <w:rPr>
          <w:lang w:val="en-GB"/>
        </w:rPr>
        <w:t xml:space="preserve"> a claim</w:t>
      </w:r>
      <w:r>
        <w:rPr>
          <w:lang w:val="en-GB"/>
        </w:rPr>
        <w:t xml:space="preserve"> that </w:t>
      </w:r>
      <w:r w:rsidR="008C3F78">
        <w:rPr>
          <w:lang w:val="en-GB"/>
        </w:rPr>
        <w:t xml:space="preserve">electronic HIUs were not able to </w:t>
      </w:r>
      <w:r w:rsidR="00BE37DA">
        <w:rPr>
          <w:lang w:val="en-GB"/>
        </w:rPr>
        <w:t>meet the low flow requirements</w:t>
      </w:r>
      <w:r w:rsidR="008C3F78">
        <w:rPr>
          <w:lang w:val="en-GB"/>
        </w:rPr>
        <w:t>.</w:t>
      </w:r>
    </w:p>
    <w:p w14:paraId="3265215C" w14:textId="6CBD84C3" w:rsidR="002E12CB" w:rsidRDefault="00E834CD" w:rsidP="006E4BB3">
      <w:pPr>
        <w:spacing w:before="240" w:after="120"/>
        <w:jc w:val="both"/>
        <w:rPr>
          <w:lang w:val="en-GB"/>
        </w:rPr>
      </w:pPr>
      <w:r>
        <w:rPr>
          <w:lang w:val="en-GB"/>
        </w:rPr>
        <w:t>However, in reviewing the statistics from tests to date, it would appear that this is not the case.</w:t>
      </w:r>
      <w:r w:rsidR="00A903D8">
        <w:rPr>
          <w:lang w:val="en-GB"/>
        </w:rPr>
        <w:t xml:space="preserve"> </w:t>
      </w:r>
    </w:p>
    <w:p w14:paraId="0808A0A1" w14:textId="19460A2E" w:rsidR="0031060D" w:rsidRDefault="002E12CB" w:rsidP="006E4BB3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Table 3 below shows the number of </w:t>
      </w:r>
      <w:r w:rsidR="0020462D">
        <w:rPr>
          <w:lang w:val="en-GB"/>
        </w:rPr>
        <w:t xml:space="preserve">electronic and mechanical HIUs </w:t>
      </w:r>
      <w:r w:rsidR="0031060D">
        <w:rPr>
          <w:lang w:val="en-GB"/>
        </w:rPr>
        <w:t>that were able to deliver stable DHW temperature at low flow on</w:t>
      </w:r>
      <w:r w:rsidR="0020462D">
        <w:rPr>
          <w:lang w:val="en-GB"/>
        </w:rPr>
        <w:t xml:space="preserve"> test 3A (55</w:t>
      </w:r>
      <w:r w:rsidR="0020462D">
        <w:rPr>
          <w:rFonts w:ascii="Trebuchet MS" w:hAnsi="Trebuchet MS"/>
          <w:lang w:val="en-GB"/>
        </w:rPr>
        <w:t>°</w:t>
      </w:r>
      <w:r w:rsidR="0020462D">
        <w:rPr>
          <w:lang w:val="en-GB"/>
        </w:rPr>
        <w:t>C DHW, 70</w:t>
      </w:r>
      <w:r w:rsidR="0020462D">
        <w:rPr>
          <w:rFonts w:ascii="Trebuchet MS" w:hAnsi="Trebuchet MS"/>
          <w:lang w:val="en-GB"/>
        </w:rPr>
        <w:t>°</w:t>
      </w:r>
      <w:r w:rsidR="0020462D">
        <w:rPr>
          <w:lang w:val="en-GB"/>
        </w:rPr>
        <w:t>C DH) and test 3B (50</w:t>
      </w:r>
      <w:r w:rsidR="0020462D">
        <w:rPr>
          <w:rFonts w:ascii="Trebuchet MS" w:hAnsi="Trebuchet MS"/>
          <w:lang w:val="en-GB"/>
        </w:rPr>
        <w:t>°</w:t>
      </w:r>
      <w:r w:rsidR="0020462D">
        <w:rPr>
          <w:lang w:val="en-GB"/>
        </w:rPr>
        <w:t>C DHW, 60</w:t>
      </w:r>
      <w:r w:rsidR="0020462D">
        <w:rPr>
          <w:rFonts w:ascii="Trebuchet MS" w:hAnsi="Trebuchet MS"/>
          <w:lang w:val="en-GB"/>
        </w:rPr>
        <w:t>°</w:t>
      </w:r>
      <w:r w:rsidR="0020462D">
        <w:rPr>
          <w:lang w:val="en-GB"/>
        </w:rPr>
        <w:t>C DH)</w:t>
      </w:r>
      <w:r w:rsidR="00F16BD7">
        <w:rPr>
          <w:lang w:val="en-GB"/>
        </w:rPr>
        <w:t xml:space="preserve">. </w:t>
      </w:r>
      <w:r w:rsidR="00542C8D">
        <w:rPr>
          <w:lang w:val="en-GB"/>
        </w:rPr>
        <w:t xml:space="preserve">As can be seen, the majority of HIUs </w:t>
      </w:r>
      <w:r w:rsidR="0031060D">
        <w:rPr>
          <w:lang w:val="en-GB"/>
        </w:rPr>
        <w:t xml:space="preserve">were able to deliver </w:t>
      </w:r>
      <w:r w:rsidR="008A2CA6">
        <w:rPr>
          <w:lang w:val="en-GB"/>
        </w:rPr>
        <w:t>stable DHW at 1.2 l/min (0.02 l/s) under on b</w:t>
      </w:r>
      <w:r w:rsidR="00630CC2">
        <w:rPr>
          <w:lang w:val="en-GB"/>
        </w:rPr>
        <w:t>oth tests.</w:t>
      </w:r>
    </w:p>
    <w:p w14:paraId="73D6FA35" w14:textId="2132BA8E" w:rsidR="002E12CB" w:rsidRDefault="00542C8D" w:rsidP="006E4BB3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However, </w:t>
      </w:r>
      <w:r w:rsidR="00FC25D0">
        <w:rPr>
          <w:lang w:val="en-GB"/>
        </w:rPr>
        <w:t xml:space="preserve">the number of electronic HIUs able to deliver stable </w:t>
      </w:r>
      <w:r w:rsidR="00284D38">
        <w:rPr>
          <w:lang w:val="en-GB"/>
        </w:rPr>
        <w:t xml:space="preserve">DHW temperatures under </w:t>
      </w:r>
      <w:r w:rsidR="00C10E51">
        <w:rPr>
          <w:lang w:val="en-GB"/>
        </w:rPr>
        <w:t xml:space="preserve">the </w:t>
      </w:r>
      <w:r w:rsidR="00284D38">
        <w:rPr>
          <w:lang w:val="en-GB"/>
        </w:rPr>
        <w:t>high temp</w:t>
      </w:r>
      <w:r w:rsidR="00C10E51">
        <w:rPr>
          <w:lang w:val="en-GB"/>
        </w:rPr>
        <w:t xml:space="preserve">erature regime (Test 3A) is </w:t>
      </w:r>
      <w:r w:rsidR="004A2232">
        <w:rPr>
          <w:lang w:val="en-GB"/>
        </w:rPr>
        <w:t xml:space="preserve">approximately half. </w:t>
      </w:r>
      <w:r w:rsidR="003A684F">
        <w:rPr>
          <w:lang w:val="en-GB"/>
        </w:rPr>
        <w:t xml:space="preserve">This would indicate that </w:t>
      </w:r>
      <w:r w:rsidR="001A7BE9">
        <w:rPr>
          <w:lang w:val="en-GB"/>
        </w:rPr>
        <w:t xml:space="preserve">even more are likely to fail at higher </w:t>
      </w:r>
      <w:r w:rsidR="00835E77">
        <w:rPr>
          <w:lang w:val="en-GB"/>
        </w:rPr>
        <w:t>DH flow temperatures.</w:t>
      </w:r>
    </w:p>
    <w:p w14:paraId="1932F6AC" w14:textId="5DE30841" w:rsidR="00DF6451" w:rsidRDefault="00DF6451" w:rsidP="006E4BB3">
      <w:pPr>
        <w:spacing w:before="240" w:after="120"/>
        <w:jc w:val="both"/>
        <w:rPr>
          <w:lang w:val="en-GB"/>
        </w:rPr>
      </w:pPr>
      <w:r>
        <w:rPr>
          <w:lang w:val="en-GB"/>
        </w:rPr>
        <w:t>With respect to mechanical HIUs, 5 out of 7 were able to deliver stable DHW on each of the two tests.</w:t>
      </w:r>
    </w:p>
    <w:p w14:paraId="23E06A6E" w14:textId="7008B922" w:rsidR="00E834CD" w:rsidRPr="00A903D8" w:rsidRDefault="00B627B0" w:rsidP="006E4BB3">
      <w:pPr>
        <w:spacing w:before="240" w:after="120"/>
        <w:jc w:val="both"/>
        <w:rPr>
          <w:u w:val="single"/>
          <w:lang w:val="en-GB"/>
        </w:rPr>
      </w:pPr>
      <w:r w:rsidRPr="00A903D8">
        <w:rPr>
          <w:u w:val="single"/>
          <w:lang w:val="en-GB"/>
        </w:rPr>
        <w:t xml:space="preserve">Table 3: Number of HIUs that </w:t>
      </w:r>
      <w:r w:rsidR="00A903D8" w:rsidRPr="00A903D8">
        <w:rPr>
          <w:u w:val="single"/>
          <w:lang w:val="en-GB"/>
        </w:rPr>
        <w:t>are</w:t>
      </w:r>
      <w:r w:rsidRPr="00A903D8">
        <w:rPr>
          <w:u w:val="single"/>
          <w:lang w:val="en-GB"/>
        </w:rPr>
        <w:t xml:space="preserve"> able to deliver stable DHW at 0.02 l/s</w:t>
      </w:r>
      <w:r w:rsidR="00A903D8" w:rsidRPr="00A903D8">
        <w:rPr>
          <w:u w:val="single"/>
          <w:lang w:val="en-GB"/>
        </w:rPr>
        <w:t>, by HIU type (BESA HIU Tests)</w:t>
      </w:r>
    </w:p>
    <w:tbl>
      <w:tblPr>
        <w:tblW w:w="5160" w:type="dxa"/>
        <w:tblLook w:val="04A0" w:firstRow="1" w:lastRow="0" w:firstColumn="1" w:lastColumn="0" w:noHBand="0" w:noVBand="1"/>
      </w:tblPr>
      <w:tblGrid>
        <w:gridCol w:w="1320"/>
        <w:gridCol w:w="973"/>
        <w:gridCol w:w="947"/>
        <w:gridCol w:w="973"/>
        <w:gridCol w:w="947"/>
      </w:tblGrid>
      <w:tr w:rsidR="00B627B0" w:rsidRPr="00B627B0" w14:paraId="6D15C586" w14:textId="77777777" w:rsidTr="00B627B0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E4BEE" w14:textId="77777777" w:rsidR="00B627B0" w:rsidRPr="00B627B0" w:rsidRDefault="00B627B0" w:rsidP="00B627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83B418" w14:textId="77777777" w:rsidR="00B627B0" w:rsidRPr="00B627B0" w:rsidRDefault="00B627B0" w:rsidP="00B627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Electronic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A0ACE6" w14:textId="77777777" w:rsidR="00B627B0" w:rsidRPr="00B627B0" w:rsidRDefault="00B627B0" w:rsidP="00B627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Mechanical</w:t>
            </w:r>
          </w:p>
        </w:tc>
      </w:tr>
      <w:tr w:rsidR="00B627B0" w:rsidRPr="00B627B0" w14:paraId="49B97E77" w14:textId="77777777" w:rsidTr="00B627B0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9AF0" w14:textId="77777777" w:rsidR="00B627B0" w:rsidRPr="00B627B0" w:rsidRDefault="00B627B0" w:rsidP="00B627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F3BC" w14:textId="77777777" w:rsidR="00B627B0" w:rsidRPr="00B627B0" w:rsidRDefault="00B627B0" w:rsidP="00B627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3A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213B" w14:textId="77777777" w:rsidR="00B627B0" w:rsidRPr="00B627B0" w:rsidRDefault="00B627B0" w:rsidP="00B627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3B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952D" w14:textId="77777777" w:rsidR="00B627B0" w:rsidRPr="00B627B0" w:rsidRDefault="00B627B0" w:rsidP="00B627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3A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906D" w14:textId="77777777" w:rsidR="00B627B0" w:rsidRPr="00B627B0" w:rsidRDefault="00B627B0" w:rsidP="00B627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3B</w:t>
            </w:r>
          </w:p>
        </w:tc>
      </w:tr>
      <w:tr w:rsidR="00B627B0" w:rsidRPr="00B627B0" w14:paraId="218C44A8" w14:textId="77777777" w:rsidTr="00B627B0">
        <w:trPr>
          <w:trHeight w:val="30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5760B" w14:textId="0570E511" w:rsidR="00B627B0" w:rsidRPr="00B627B0" w:rsidRDefault="00847CA4" w:rsidP="00B627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Yes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6387" w14:textId="77777777" w:rsidR="00B627B0" w:rsidRPr="00B627B0" w:rsidRDefault="00B627B0" w:rsidP="00B627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9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22AA" w14:textId="77777777" w:rsidR="00B627B0" w:rsidRPr="00B627B0" w:rsidRDefault="00B627B0" w:rsidP="00B627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15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78776" w14:textId="77777777" w:rsidR="00B627B0" w:rsidRPr="00B627B0" w:rsidRDefault="00B627B0" w:rsidP="00B627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7A15" w14:textId="77777777" w:rsidR="00B627B0" w:rsidRPr="00B627B0" w:rsidRDefault="00B627B0" w:rsidP="00B627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5</w:t>
            </w:r>
          </w:p>
        </w:tc>
      </w:tr>
      <w:tr w:rsidR="00B627B0" w:rsidRPr="00B627B0" w14:paraId="3134228E" w14:textId="77777777" w:rsidTr="00B627B0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2B062" w14:textId="55C12816" w:rsidR="00B627B0" w:rsidRPr="00B627B0" w:rsidRDefault="00847CA4" w:rsidP="00B627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No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60CA" w14:textId="77777777" w:rsidR="00B627B0" w:rsidRPr="00B627B0" w:rsidRDefault="00B627B0" w:rsidP="00B627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10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0046" w14:textId="77777777" w:rsidR="00B627B0" w:rsidRPr="00B627B0" w:rsidRDefault="00B627B0" w:rsidP="00B627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3D92" w14:textId="77777777" w:rsidR="00B627B0" w:rsidRPr="00B627B0" w:rsidRDefault="00B627B0" w:rsidP="00B627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8D018" w14:textId="77777777" w:rsidR="00B627B0" w:rsidRPr="00B627B0" w:rsidRDefault="00B627B0" w:rsidP="00B627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</w:tr>
      <w:tr w:rsidR="00B627B0" w:rsidRPr="00B627B0" w14:paraId="6268BC29" w14:textId="77777777" w:rsidTr="00B627B0">
        <w:trPr>
          <w:trHeight w:val="300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E628D" w14:textId="77777777" w:rsidR="00B627B0" w:rsidRPr="00B627B0" w:rsidRDefault="00B627B0" w:rsidP="00B627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Total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8136" w14:textId="77777777" w:rsidR="00B627B0" w:rsidRPr="00B627B0" w:rsidRDefault="00B627B0" w:rsidP="00B627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19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9AC2" w14:textId="77777777" w:rsidR="00B627B0" w:rsidRPr="00B627B0" w:rsidRDefault="00B627B0" w:rsidP="00B627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19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C969" w14:textId="77777777" w:rsidR="00B627B0" w:rsidRPr="00B627B0" w:rsidRDefault="00B627B0" w:rsidP="00B627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AAAE" w14:textId="77777777" w:rsidR="00B627B0" w:rsidRPr="00B627B0" w:rsidRDefault="00B627B0" w:rsidP="00B627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B627B0">
              <w:rPr>
                <w:rFonts w:ascii="Calibri" w:eastAsia="Times New Roman" w:hAnsi="Calibri" w:cs="Calibri"/>
                <w:color w:val="000000"/>
                <w:lang w:val="en-GB" w:eastAsia="en-GB"/>
              </w:rPr>
              <w:t>7</w:t>
            </w:r>
          </w:p>
        </w:tc>
      </w:tr>
    </w:tbl>
    <w:p w14:paraId="030EA8B1" w14:textId="070E66DD" w:rsidR="00835E77" w:rsidRDefault="00DF6451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>As such, it would appear that there is no technical impediment to HIUs being able to deliver stable DHW at low flows</w:t>
      </w:r>
      <w:r w:rsidR="00835E77">
        <w:rPr>
          <w:lang w:val="en-GB"/>
        </w:rPr>
        <w:t xml:space="preserve">, but that there are a number of HIUs that are currently not able to deliver stable temperatures </w:t>
      </w:r>
      <w:r w:rsidR="00DF0F76">
        <w:rPr>
          <w:lang w:val="en-GB"/>
        </w:rPr>
        <w:t>which are being registered against the BESA HIU Test Regime.</w:t>
      </w:r>
    </w:p>
    <w:p w14:paraId="69DB7923" w14:textId="22E30B21" w:rsidR="003F027B" w:rsidRPr="0068185E" w:rsidRDefault="00701A1C" w:rsidP="003F027B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>Conclusions</w:t>
      </w:r>
    </w:p>
    <w:p w14:paraId="356589EA" w14:textId="2F911898" w:rsidR="00F913D0" w:rsidRDefault="00F913D0" w:rsidP="0095126B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As part of a drive to water efficiency, there is a general trend in the direction of low flow outlets. </w:t>
      </w:r>
      <w:r w:rsidR="00D6189B">
        <w:rPr>
          <w:lang w:val="en-GB"/>
        </w:rPr>
        <w:t xml:space="preserve">Building Regulations Part G optional requirements are required under planning by a large number of councils, which imposes a maximum flow rate of 5 l/min on </w:t>
      </w:r>
      <w:r w:rsidR="00C97418">
        <w:rPr>
          <w:lang w:val="en-GB"/>
        </w:rPr>
        <w:t xml:space="preserve">WHB taps. However, </w:t>
      </w:r>
      <w:r w:rsidR="007817EB">
        <w:rPr>
          <w:lang w:val="en-GB"/>
        </w:rPr>
        <w:t>flow rates seen in practice are often lower than this, at 3 – 4 l/min</w:t>
      </w:r>
      <w:r w:rsidR="00141925">
        <w:rPr>
          <w:lang w:val="en-GB"/>
        </w:rPr>
        <w:t xml:space="preserve"> (</w:t>
      </w:r>
      <w:r w:rsidR="007817EB">
        <w:rPr>
          <w:lang w:val="en-GB"/>
        </w:rPr>
        <w:t xml:space="preserve">in order to </w:t>
      </w:r>
      <w:r w:rsidR="00141925">
        <w:rPr>
          <w:lang w:val="en-GB"/>
        </w:rPr>
        <w:t>have higher flow rates on other outlets such as showers).</w:t>
      </w:r>
    </w:p>
    <w:p w14:paraId="5C197E72" w14:textId="7BE4C4B9" w:rsidR="00AF6A73" w:rsidRDefault="00BD223F" w:rsidP="0095126B">
      <w:pPr>
        <w:spacing w:before="240" w:after="120"/>
        <w:jc w:val="both"/>
        <w:rPr>
          <w:lang w:val="en-GB"/>
        </w:rPr>
      </w:pPr>
      <w:r>
        <w:rPr>
          <w:lang w:val="en-GB"/>
        </w:rPr>
        <w:t>Given that</w:t>
      </w:r>
      <w:r w:rsidR="00EE32FB">
        <w:rPr>
          <w:lang w:val="en-GB"/>
        </w:rPr>
        <w:t>: (a)</w:t>
      </w:r>
      <w:r>
        <w:rPr>
          <w:lang w:val="en-GB"/>
        </w:rPr>
        <w:t xml:space="preserve"> there is a mix down to deliver hot water (e.g. to 40</w:t>
      </w:r>
      <w:r>
        <w:rPr>
          <w:rFonts w:ascii="Trebuchet MS" w:hAnsi="Trebuchet MS"/>
          <w:lang w:val="en-GB"/>
        </w:rPr>
        <w:t>°</w:t>
      </w:r>
      <w:r>
        <w:rPr>
          <w:lang w:val="en-GB"/>
        </w:rPr>
        <w:t>C)</w:t>
      </w:r>
      <w:r w:rsidR="00EE32FB">
        <w:rPr>
          <w:lang w:val="en-GB"/>
        </w:rPr>
        <w:t xml:space="preserve"> and (b) residents will typically not operate outlets at full flow, this means that</w:t>
      </w:r>
      <w:r w:rsidR="00E3562A">
        <w:rPr>
          <w:lang w:val="en-GB"/>
        </w:rPr>
        <w:t xml:space="preserve"> </w:t>
      </w:r>
      <w:r w:rsidR="00EE32FB">
        <w:rPr>
          <w:lang w:val="en-GB"/>
        </w:rPr>
        <w:t>flow rat</w:t>
      </w:r>
      <w:r w:rsidR="00E3562A">
        <w:rPr>
          <w:lang w:val="en-GB"/>
        </w:rPr>
        <w:t>es for hot water supply will be much lower than this</w:t>
      </w:r>
      <w:r w:rsidR="00EE32FB">
        <w:rPr>
          <w:lang w:val="en-GB"/>
        </w:rPr>
        <w:t>.</w:t>
      </w:r>
    </w:p>
    <w:p w14:paraId="111070B4" w14:textId="47AE6F00" w:rsidR="002C3C61" w:rsidRDefault="002C3C61" w:rsidP="002C3C61">
      <w:pPr>
        <w:spacing w:before="240" w:after="120"/>
        <w:jc w:val="both"/>
        <w:rPr>
          <w:lang w:val="en-GB"/>
        </w:rPr>
      </w:pPr>
      <w:r>
        <w:rPr>
          <w:lang w:val="en-GB"/>
        </w:rPr>
        <w:t>The inability for residents to receive hot water in part load conditions (e.g. reduced flow from a kitchen tap) is a source of complaint. This is a reasonable position.</w:t>
      </w:r>
    </w:p>
    <w:p w14:paraId="068E961B" w14:textId="14796D3E" w:rsidR="002C3C61" w:rsidRDefault="002C3C61" w:rsidP="002C3C61">
      <w:pPr>
        <w:spacing w:before="240" w:after="120"/>
        <w:jc w:val="both"/>
        <w:rPr>
          <w:lang w:val="en-GB"/>
        </w:rPr>
      </w:pPr>
      <w:r>
        <w:rPr>
          <w:lang w:val="en-GB"/>
        </w:rPr>
        <w:t>It should be reasonably expected by a resident that hot water would be able to be delivered when a</w:t>
      </w:r>
      <w:r w:rsidR="00CD7095">
        <w:rPr>
          <w:lang w:val="en-GB"/>
        </w:rPr>
        <w:t xml:space="preserve"> WHB</w:t>
      </w:r>
      <w:r>
        <w:rPr>
          <w:lang w:val="en-GB"/>
        </w:rPr>
        <w:t xml:space="preserve"> outlet is opened to 40-50% of full flow. </w:t>
      </w:r>
    </w:p>
    <w:p w14:paraId="44304193" w14:textId="618168D3" w:rsidR="00CD7095" w:rsidRPr="00CD7095" w:rsidRDefault="00CD7095" w:rsidP="002C3C61">
      <w:pPr>
        <w:spacing w:before="240" w:after="120"/>
        <w:jc w:val="both"/>
        <w:rPr>
          <w:lang w:val="en-GB"/>
        </w:rPr>
      </w:pPr>
      <w:r w:rsidRPr="00CD7095">
        <w:rPr>
          <w:lang w:val="en-GB"/>
        </w:rPr>
        <w:lastRenderedPageBreak/>
        <w:t>Furthermore, given t</w:t>
      </w:r>
      <w:r>
        <w:rPr>
          <w:lang w:val="en-GB"/>
        </w:rPr>
        <w:t xml:space="preserve">he use case for rinsing, residents may well expect a </w:t>
      </w:r>
      <w:proofErr w:type="gramStart"/>
      <w:r>
        <w:rPr>
          <w:lang w:val="en-GB"/>
        </w:rPr>
        <w:t>much reduced</w:t>
      </w:r>
      <w:proofErr w:type="gramEnd"/>
      <w:r>
        <w:rPr>
          <w:lang w:val="en-GB"/>
        </w:rPr>
        <w:t xml:space="preserve"> flow (e.g. 20%) during manual handwashing.</w:t>
      </w:r>
    </w:p>
    <w:p w14:paraId="568D45AC" w14:textId="153539A0" w:rsidR="007C556B" w:rsidRDefault="00CD7095" w:rsidP="0095126B">
      <w:pPr>
        <w:spacing w:before="240" w:after="120"/>
        <w:jc w:val="both"/>
        <w:rPr>
          <w:lang w:val="en-GB"/>
        </w:rPr>
      </w:pPr>
      <w:bookmarkStart w:id="1" w:name="_GoBack"/>
      <w:r>
        <w:rPr>
          <w:lang w:val="en-GB"/>
        </w:rPr>
        <w:t xml:space="preserve">Based on likely </w:t>
      </w:r>
      <w:r w:rsidR="00902EC2">
        <w:rPr>
          <w:lang w:val="en-GB"/>
        </w:rPr>
        <w:t xml:space="preserve">outlet flow rates and usage scenarios, the </w:t>
      </w:r>
      <w:r w:rsidR="00926891" w:rsidRPr="00CD7095">
        <w:rPr>
          <w:lang w:val="en-GB"/>
        </w:rPr>
        <w:t>0.02 l/</w:t>
      </w:r>
      <w:r w:rsidR="00902EC2">
        <w:rPr>
          <w:lang w:val="en-GB"/>
        </w:rPr>
        <w:t>s (1.2 l/min) flow rate currently used in the test would appear to be an</w:t>
      </w:r>
      <w:r w:rsidR="00926891" w:rsidRPr="00CD7095">
        <w:rPr>
          <w:lang w:val="en-GB"/>
        </w:rPr>
        <w:t xml:space="preserve"> appropriate</w:t>
      </w:r>
      <w:r w:rsidR="00902EC2">
        <w:rPr>
          <w:lang w:val="en-GB"/>
        </w:rPr>
        <w:t xml:space="preserve"> flow rate for testing</w:t>
      </w:r>
      <w:r w:rsidR="00926891" w:rsidRPr="00CD7095">
        <w:rPr>
          <w:lang w:val="en-GB"/>
        </w:rPr>
        <w:t>.</w:t>
      </w:r>
    </w:p>
    <w:p w14:paraId="2228CF46" w14:textId="513439D8" w:rsidR="003F027B" w:rsidRPr="00D544D1" w:rsidRDefault="00902EC2" w:rsidP="00EE2763">
      <w:pPr>
        <w:spacing w:before="240" w:after="120"/>
        <w:jc w:val="both"/>
        <w:rPr>
          <w:rFonts w:eastAsiaTheme="minorEastAsia" w:cstheme="minorHAnsi"/>
          <w:b/>
          <w:lang w:val="en-GB"/>
        </w:rPr>
      </w:pPr>
      <w:r>
        <w:rPr>
          <w:lang w:val="en-GB"/>
        </w:rPr>
        <w:t xml:space="preserve">Most </w:t>
      </w:r>
      <w:r w:rsidR="00EE2763">
        <w:rPr>
          <w:lang w:val="en-GB"/>
        </w:rPr>
        <w:t xml:space="preserve">HIUs </w:t>
      </w:r>
      <w:r>
        <w:rPr>
          <w:lang w:val="en-GB"/>
        </w:rPr>
        <w:t>tested to date are able to deliver stable DHW at this rate and there are no technical barriers to doing so.</w:t>
      </w:r>
    </w:p>
    <w:bookmarkEnd w:id="1"/>
    <w:p w14:paraId="49121C03" w14:textId="56C975B5" w:rsidR="003F027B" w:rsidRPr="0068185E" w:rsidRDefault="003F027B" w:rsidP="0068185E">
      <w:pPr>
        <w:spacing w:before="120" w:after="120"/>
        <w:rPr>
          <w:rFonts w:eastAsiaTheme="minorEastAsia" w:cstheme="minorHAnsi"/>
          <w:b/>
        </w:rPr>
      </w:pPr>
    </w:p>
    <w:p w14:paraId="09B579B3" w14:textId="6FE930DF" w:rsidR="003F027B" w:rsidRPr="0068185E" w:rsidRDefault="0068185E" w:rsidP="0068185E">
      <w:pPr>
        <w:pStyle w:val="Heading1"/>
        <w:rPr>
          <w:rFonts w:asciiTheme="minorHAnsi" w:hAnsiTheme="minorHAnsi" w:cstheme="minorHAnsi"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>Recommendation</w:t>
      </w:r>
    </w:p>
    <w:p w14:paraId="0FD5A15B" w14:textId="1E659EFD" w:rsidR="00EE2763" w:rsidRDefault="00C02558" w:rsidP="00C02558">
      <w:pPr>
        <w:spacing w:before="240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The recommendation is to retain </w:t>
      </w:r>
      <w:r w:rsidR="00EE2763">
        <w:rPr>
          <w:rFonts w:cstheme="minorHAnsi"/>
          <w:lang w:val="en-GB"/>
        </w:rPr>
        <w:t>0.02 l/</w:t>
      </w:r>
      <w:r w:rsidR="002C5DF9">
        <w:rPr>
          <w:rFonts w:cstheme="minorHAnsi"/>
          <w:lang w:val="en-GB"/>
        </w:rPr>
        <w:t>s</w:t>
      </w:r>
      <w:r>
        <w:rPr>
          <w:rFonts w:cstheme="minorHAnsi"/>
          <w:lang w:val="en-GB"/>
        </w:rPr>
        <w:t xml:space="preserve"> </w:t>
      </w:r>
      <w:r w:rsidR="00424F4C">
        <w:rPr>
          <w:rFonts w:cstheme="minorHAnsi"/>
          <w:lang w:val="en-GB"/>
        </w:rPr>
        <w:t>as the flow rate for the low test.</w:t>
      </w:r>
    </w:p>
    <w:p w14:paraId="3B9105A2" w14:textId="11974D45" w:rsidR="00424F4C" w:rsidRDefault="00424F4C" w:rsidP="00C02558">
      <w:pPr>
        <w:spacing w:before="240"/>
        <w:rPr>
          <w:rFonts w:cstheme="minorHAnsi"/>
          <w:lang w:val="en-GB"/>
        </w:rPr>
      </w:pPr>
      <w:r>
        <w:rPr>
          <w:rFonts w:cstheme="minorHAnsi"/>
          <w:lang w:val="en-GB"/>
        </w:rPr>
        <w:t>Furthermore, as there would appear to be no technical impediment to achieving th</w:t>
      </w:r>
      <w:r w:rsidR="009C03FE">
        <w:rPr>
          <w:rFonts w:cstheme="minorHAnsi"/>
          <w:lang w:val="en-GB"/>
        </w:rPr>
        <w:t xml:space="preserve">is, it is recommended that </w:t>
      </w:r>
      <w:r w:rsidR="009A002D">
        <w:rPr>
          <w:rFonts w:cstheme="minorHAnsi"/>
          <w:lang w:val="en-GB"/>
        </w:rPr>
        <w:t>consideration be given to removing the option for testing at a higher flow rate</w:t>
      </w:r>
      <w:r w:rsidR="00B74FFB">
        <w:rPr>
          <w:rFonts w:cstheme="minorHAnsi"/>
          <w:lang w:val="en-GB"/>
        </w:rPr>
        <w:t xml:space="preserve"> (as stated by manufacturer).</w:t>
      </w:r>
    </w:p>
    <w:p w14:paraId="1C40D051" w14:textId="4AF4BB46" w:rsidR="005251EC" w:rsidRDefault="005251EC" w:rsidP="00C02558">
      <w:pPr>
        <w:spacing w:before="240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This is one of the few tests for resident comfort and it has been </w:t>
      </w:r>
      <w:r w:rsidR="00D26AEA">
        <w:rPr>
          <w:rFonts w:cstheme="minorHAnsi"/>
          <w:lang w:val="en-GB"/>
        </w:rPr>
        <w:t xml:space="preserve">an area of resident complaints historically. </w:t>
      </w:r>
      <w:r w:rsidR="00DD6D48">
        <w:rPr>
          <w:rFonts w:cstheme="minorHAnsi"/>
          <w:lang w:val="en-GB"/>
        </w:rPr>
        <w:t xml:space="preserve"> Furthermore, g</w:t>
      </w:r>
      <w:r w:rsidR="00D26AEA">
        <w:rPr>
          <w:rFonts w:cstheme="minorHAnsi"/>
          <w:lang w:val="en-GB"/>
        </w:rPr>
        <w:t xml:space="preserve">iven the timeframes associated with this </w:t>
      </w:r>
      <w:r w:rsidR="001028C8">
        <w:rPr>
          <w:rFonts w:cstheme="minorHAnsi"/>
          <w:lang w:val="en-GB"/>
        </w:rPr>
        <w:t xml:space="preserve">test (and the fact that it has been flagged for a number of years now), </w:t>
      </w:r>
      <w:r w:rsidR="00BB1A1F">
        <w:rPr>
          <w:rFonts w:cstheme="minorHAnsi"/>
          <w:lang w:val="en-GB"/>
        </w:rPr>
        <w:t xml:space="preserve">it is arguable that </w:t>
      </w:r>
      <w:r w:rsidR="001028C8">
        <w:rPr>
          <w:rFonts w:cstheme="minorHAnsi"/>
          <w:lang w:val="en-GB"/>
        </w:rPr>
        <w:t xml:space="preserve">the industry has </w:t>
      </w:r>
      <w:r w:rsidR="00BB1A1F">
        <w:rPr>
          <w:rFonts w:cstheme="minorHAnsi"/>
          <w:lang w:val="en-GB"/>
        </w:rPr>
        <w:t xml:space="preserve">had </w:t>
      </w:r>
      <w:r w:rsidR="001028C8">
        <w:rPr>
          <w:rFonts w:cstheme="minorHAnsi"/>
          <w:lang w:val="en-GB"/>
        </w:rPr>
        <w:t>sufficient time to adjust.</w:t>
      </w:r>
    </w:p>
    <w:p w14:paraId="1D5B8A20" w14:textId="4F95E7D5" w:rsidR="00DD6D48" w:rsidRDefault="00DD6D48" w:rsidP="00C02558">
      <w:pPr>
        <w:spacing w:before="240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This is an issue that should be reviewed within the </w:t>
      </w:r>
      <w:r w:rsidR="00BB1A1F">
        <w:rPr>
          <w:rFonts w:cstheme="minorHAnsi"/>
          <w:lang w:val="en-GB"/>
        </w:rPr>
        <w:t>context of setting minimum standards and/or pass/fail for the BESA HIU Test Standard.</w:t>
      </w:r>
    </w:p>
    <w:p w14:paraId="00B83D09" w14:textId="3DE3DE7F" w:rsidR="00DE687E" w:rsidRPr="0068185E" w:rsidRDefault="00DE687E" w:rsidP="003F027B">
      <w:pPr>
        <w:pStyle w:val="Heading1"/>
        <w:rPr>
          <w:rFonts w:asciiTheme="minorHAnsi" w:hAnsiTheme="minorHAnsi" w:cstheme="minorHAnsi"/>
          <w:b/>
          <w:sz w:val="22"/>
          <w:szCs w:val="22"/>
        </w:rPr>
      </w:pPr>
      <w:r w:rsidRPr="0068185E">
        <w:rPr>
          <w:rFonts w:asciiTheme="minorHAnsi" w:hAnsiTheme="minorHAnsi" w:cstheme="minorHAnsi"/>
          <w:b/>
          <w:sz w:val="22"/>
          <w:szCs w:val="22"/>
        </w:rPr>
        <w:t>References</w:t>
      </w:r>
    </w:p>
    <w:p w14:paraId="1CD3DC8A" w14:textId="4E2CB2A7" w:rsidR="00DE687E" w:rsidRPr="0068185E" w:rsidRDefault="00BB7E88" w:rsidP="00701A1C">
      <w:pPr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4B5063">
        <w:rPr>
          <w:rFonts w:cstheme="minorHAnsi"/>
        </w:rPr>
        <w:t xml:space="preserve">Combination Boilers and Low Flow Fittings, 2007. </w:t>
      </w:r>
      <w:r>
        <w:rPr>
          <w:rFonts w:cstheme="minorHAnsi"/>
        </w:rPr>
        <w:t xml:space="preserve">Nick Grant, Elemental Solutions. </w:t>
      </w:r>
      <w:r w:rsidR="004B5063">
        <w:rPr>
          <w:rFonts w:cstheme="minorHAnsi"/>
        </w:rPr>
        <w:t xml:space="preserve">Report commissioned by the </w:t>
      </w:r>
      <w:r>
        <w:rPr>
          <w:rFonts w:cstheme="minorHAnsi"/>
        </w:rPr>
        <w:t>Environmental Agency.</w:t>
      </w:r>
    </w:p>
    <w:p w14:paraId="1A5CEC1F" w14:textId="07314A5D" w:rsidR="00DE687E" w:rsidRPr="0068185E" w:rsidRDefault="003C46A6" w:rsidP="003F027B">
      <w:pPr>
        <w:jc w:val="both"/>
        <w:rPr>
          <w:rFonts w:cstheme="minorHAnsi"/>
        </w:rPr>
      </w:pPr>
      <w:r>
        <w:rPr>
          <w:rFonts w:cstheme="minorHAnsi"/>
        </w:rPr>
        <w:t xml:space="preserve">2. The Building Regulations 2010, Part G, </w:t>
      </w:r>
      <w:r w:rsidR="00236982">
        <w:rPr>
          <w:rFonts w:cstheme="minorHAnsi"/>
        </w:rPr>
        <w:t>Sanitation, hot water safety and water efficiency. 2015 edition, with 2016 amendments.</w:t>
      </w:r>
    </w:p>
    <w:p w14:paraId="79DB2D03" w14:textId="6822B0AD" w:rsidR="00DE687E" w:rsidRPr="0068185E" w:rsidRDefault="00DD7D85" w:rsidP="00701A1C">
      <w:pPr>
        <w:jc w:val="both"/>
        <w:rPr>
          <w:rFonts w:cstheme="minorHAnsi"/>
        </w:rPr>
      </w:pPr>
      <w:r>
        <w:rPr>
          <w:rFonts w:cstheme="minorHAnsi"/>
        </w:rPr>
        <w:t xml:space="preserve">3. </w:t>
      </w:r>
      <w:r w:rsidR="00D371FF">
        <w:rPr>
          <w:rFonts w:cstheme="minorHAnsi"/>
        </w:rPr>
        <w:t>SAP Supporting Document: Consultation Paper: CONSP:0</w:t>
      </w:r>
      <w:r w:rsidR="006075EB">
        <w:rPr>
          <w:rFonts w:cstheme="minorHAnsi"/>
        </w:rPr>
        <w:t>8. Amendments to SAP’s hot water methodology. Issue 1.0. Underlying data from EST study.</w:t>
      </w:r>
    </w:p>
    <w:p w14:paraId="708F21A9" w14:textId="2501B2BD" w:rsidR="00471551" w:rsidRPr="0068185E" w:rsidRDefault="00471551" w:rsidP="00017C28">
      <w:pPr>
        <w:ind w:right="645"/>
        <w:jc w:val="both"/>
        <w:rPr>
          <w:rFonts w:cstheme="minorHAnsi"/>
          <w:b/>
          <w:lang w:val="en-GB"/>
        </w:rPr>
      </w:pPr>
    </w:p>
    <w:sectPr w:rsidR="00471551" w:rsidRPr="0068185E" w:rsidSect="002945CC">
      <w:headerReference w:type="default" r:id="rId14"/>
      <w:headerReference w:type="first" r:id="rId15"/>
      <w:pgSz w:w="12240" w:h="15840" w:code="1"/>
      <w:pgMar w:top="993" w:right="1467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9E3A5" w14:textId="77777777" w:rsidR="00D96754" w:rsidRDefault="00D96754">
      <w:pPr>
        <w:spacing w:after="0" w:line="240" w:lineRule="auto"/>
      </w:pPr>
      <w:r>
        <w:separator/>
      </w:r>
    </w:p>
  </w:endnote>
  <w:endnote w:type="continuationSeparator" w:id="0">
    <w:p w14:paraId="13B6CA89" w14:textId="77777777" w:rsidR="00D96754" w:rsidRDefault="00D9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jdhani Semibold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ajdhani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22961" w14:textId="77777777" w:rsidR="00D96754" w:rsidRDefault="00D96754">
      <w:pPr>
        <w:spacing w:after="0" w:line="240" w:lineRule="auto"/>
      </w:pPr>
      <w:r>
        <w:separator/>
      </w:r>
    </w:p>
  </w:footnote>
  <w:footnote w:type="continuationSeparator" w:id="0">
    <w:p w14:paraId="458F7A8C" w14:textId="77777777" w:rsidR="00D96754" w:rsidRDefault="00D9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540BE" w14:textId="77777777" w:rsidR="00A53A57" w:rsidRDefault="00A53A57" w:rsidP="00CE723C">
    <w:pPr>
      <w:pStyle w:val="Header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B4369" w14:textId="77777777" w:rsidR="00A53A57" w:rsidRDefault="00A53A57" w:rsidP="00CE723C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E4C6D"/>
    <w:multiLevelType w:val="hybridMultilevel"/>
    <w:tmpl w:val="5B9E1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76E9D"/>
    <w:multiLevelType w:val="hybridMultilevel"/>
    <w:tmpl w:val="9FD08E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F4FE9"/>
    <w:multiLevelType w:val="hybridMultilevel"/>
    <w:tmpl w:val="BA12BC4C"/>
    <w:lvl w:ilvl="0" w:tplc="E1DC54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4827EE"/>
    <w:multiLevelType w:val="hybridMultilevel"/>
    <w:tmpl w:val="F1F86980"/>
    <w:lvl w:ilvl="0" w:tplc="C5863A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C00D5"/>
    <w:multiLevelType w:val="hybridMultilevel"/>
    <w:tmpl w:val="C46E55F8"/>
    <w:lvl w:ilvl="0" w:tplc="C828485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8780B"/>
    <w:multiLevelType w:val="multilevel"/>
    <w:tmpl w:val="E724E85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EE"/>
    <w:rsid w:val="000030C3"/>
    <w:rsid w:val="00005C0A"/>
    <w:rsid w:val="00006E3F"/>
    <w:rsid w:val="00013BB0"/>
    <w:rsid w:val="00017C28"/>
    <w:rsid w:val="00024C44"/>
    <w:rsid w:val="00030138"/>
    <w:rsid w:val="00032C5B"/>
    <w:rsid w:val="00035C07"/>
    <w:rsid w:val="0003723D"/>
    <w:rsid w:val="00037430"/>
    <w:rsid w:val="00041868"/>
    <w:rsid w:val="000521C4"/>
    <w:rsid w:val="00063809"/>
    <w:rsid w:val="00074E87"/>
    <w:rsid w:val="00080B3C"/>
    <w:rsid w:val="00081541"/>
    <w:rsid w:val="000912EC"/>
    <w:rsid w:val="00093D56"/>
    <w:rsid w:val="00097700"/>
    <w:rsid w:val="000A1211"/>
    <w:rsid w:val="000A4606"/>
    <w:rsid w:val="000A514D"/>
    <w:rsid w:val="000A7603"/>
    <w:rsid w:val="000A7BA8"/>
    <w:rsid w:val="000B3F59"/>
    <w:rsid w:val="000C2F63"/>
    <w:rsid w:val="000C6750"/>
    <w:rsid w:val="000D01BA"/>
    <w:rsid w:val="000D246E"/>
    <w:rsid w:val="000D7182"/>
    <w:rsid w:val="000E2B11"/>
    <w:rsid w:val="000E4169"/>
    <w:rsid w:val="000E7A2B"/>
    <w:rsid w:val="000F3019"/>
    <w:rsid w:val="001028C8"/>
    <w:rsid w:val="00102BEB"/>
    <w:rsid w:val="001068EA"/>
    <w:rsid w:val="00110E35"/>
    <w:rsid w:val="001123DB"/>
    <w:rsid w:val="00116054"/>
    <w:rsid w:val="001318CD"/>
    <w:rsid w:val="00136822"/>
    <w:rsid w:val="00141925"/>
    <w:rsid w:val="00141959"/>
    <w:rsid w:val="00146175"/>
    <w:rsid w:val="00151ED7"/>
    <w:rsid w:val="00156E44"/>
    <w:rsid w:val="00171091"/>
    <w:rsid w:val="001766C8"/>
    <w:rsid w:val="001825C8"/>
    <w:rsid w:val="00185564"/>
    <w:rsid w:val="00186D13"/>
    <w:rsid w:val="00192E26"/>
    <w:rsid w:val="0019568D"/>
    <w:rsid w:val="001A7657"/>
    <w:rsid w:val="001A795E"/>
    <w:rsid w:val="001A7BE9"/>
    <w:rsid w:val="001C0EDE"/>
    <w:rsid w:val="001C2801"/>
    <w:rsid w:val="001D1ED1"/>
    <w:rsid w:val="001E4FA5"/>
    <w:rsid w:val="001F4EA9"/>
    <w:rsid w:val="001F6972"/>
    <w:rsid w:val="00201511"/>
    <w:rsid w:val="002027FD"/>
    <w:rsid w:val="0020462D"/>
    <w:rsid w:val="0022707A"/>
    <w:rsid w:val="002274C9"/>
    <w:rsid w:val="002355F5"/>
    <w:rsid w:val="00235D47"/>
    <w:rsid w:val="00236982"/>
    <w:rsid w:val="002415DA"/>
    <w:rsid w:val="00241E64"/>
    <w:rsid w:val="0024528F"/>
    <w:rsid w:val="00251018"/>
    <w:rsid w:val="00252304"/>
    <w:rsid w:val="00254F66"/>
    <w:rsid w:val="0026012D"/>
    <w:rsid w:val="00262965"/>
    <w:rsid w:val="00270D2B"/>
    <w:rsid w:val="00272AD8"/>
    <w:rsid w:val="002751DB"/>
    <w:rsid w:val="002833B4"/>
    <w:rsid w:val="00284D38"/>
    <w:rsid w:val="00287A5F"/>
    <w:rsid w:val="002932C6"/>
    <w:rsid w:val="002945CC"/>
    <w:rsid w:val="002B1D8E"/>
    <w:rsid w:val="002B2232"/>
    <w:rsid w:val="002C0D2B"/>
    <w:rsid w:val="002C12E6"/>
    <w:rsid w:val="002C3C61"/>
    <w:rsid w:val="002C5DF9"/>
    <w:rsid w:val="002D2DF3"/>
    <w:rsid w:val="002D62B8"/>
    <w:rsid w:val="002E12CB"/>
    <w:rsid w:val="002E33CE"/>
    <w:rsid w:val="002E55CB"/>
    <w:rsid w:val="002F2009"/>
    <w:rsid w:val="002F60E7"/>
    <w:rsid w:val="003064E2"/>
    <w:rsid w:val="0031060D"/>
    <w:rsid w:val="00310D14"/>
    <w:rsid w:val="00315869"/>
    <w:rsid w:val="003256D9"/>
    <w:rsid w:val="00327E03"/>
    <w:rsid w:val="00335544"/>
    <w:rsid w:val="0033694B"/>
    <w:rsid w:val="003431D6"/>
    <w:rsid w:val="00351BF9"/>
    <w:rsid w:val="003606CA"/>
    <w:rsid w:val="00363B76"/>
    <w:rsid w:val="00370376"/>
    <w:rsid w:val="003715DE"/>
    <w:rsid w:val="00372C88"/>
    <w:rsid w:val="00373DAB"/>
    <w:rsid w:val="00383B04"/>
    <w:rsid w:val="00394D8B"/>
    <w:rsid w:val="003A1121"/>
    <w:rsid w:val="003A684F"/>
    <w:rsid w:val="003B2B94"/>
    <w:rsid w:val="003B4781"/>
    <w:rsid w:val="003C1C3F"/>
    <w:rsid w:val="003C1FBC"/>
    <w:rsid w:val="003C3EFB"/>
    <w:rsid w:val="003C46A6"/>
    <w:rsid w:val="003C6BBF"/>
    <w:rsid w:val="003C7EE0"/>
    <w:rsid w:val="003D3199"/>
    <w:rsid w:val="003D6D7C"/>
    <w:rsid w:val="003F027B"/>
    <w:rsid w:val="003F5621"/>
    <w:rsid w:val="003F7809"/>
    <w:rsid w:val="00400837"/>
    <w:rsid w:val="00404B6C"/>
    <w:rsid w:val="00412AAC"/>
    <w:rsid w:val="00415BE5"/>
    <w:rsid w:val="00417615"/>
    <w:rsid w:val="00424F4C"/>
    <w:rsid w:val="004250AB"/>
    <w:rsid w:val="00427FAC"/>
    <w:rsid w:val="004322A5"/>
    <w:rsid w:val="00434A7B"/>
    <w:rsid w:val="00442888"/>
    <w:rsid w:val="0044433C"/>
    <w:rsid w:val="00447479"/>
    <w:rsid w:val="00462B0A"/>
    <w:rsid w:val="0046314B"/>
    <w:rsid w:val="00471551"/>
    <w:rsid w:val="00472094"/>
    <w:rsid w:val="004767A9"/>
    <w:rsid w:val="004813E6"/>
    <w:rsid w:val="00481BC5"/>
    <w:rsid w:val="00482752"/>
    <w:rsid w:val="00483F46"/>
    <w:rsid w:val="00484400"/>
    <w:rsid w:val="00486806"/>
    <w:rsid w:val="004A2232"/>
    <w:rsid w:val="004B061E"/>
    <w:rsid w:val="004B4F56"/>
    <w:rsid w:val="004B5063"/>
    <w:rsid w:val="004C4E6D"/>
    <w:rsid w:val="004D4981"/>
    <w:rsid w:val="004E02FF"/>
    <w:rsid w:val="004E29E7"/>
    <w:rsid w:val="004F41FB"/>
    <w:rsid w:val="004F4733"/>
    <w:rsid w:val="004F5FBD"/>
    <w:rsid w:val="00503911"/>
    <w:rsid w:val="00505EA4"/>
    <w:rsid w:val="00506DC8"/>
    <w:rsid w:val="005123C5"/>
    <w:rsid w:val="00515AC9"/>
    <w:rsid w:val="00517544"/>
    <w:rsid w:val="00517677"/>
    <w:rsid w:val="00523DD1"/>
    <w:rsid w:val="005251EC"/>
    <w:rsid w:val="0052526C"/>
    <w:rsid w:val="00535478"/>
    <w:rsid w:val="00542C8D"/>
    <w:rsid w:val="005479E4"/>
    <w:rsid w:val="00552C56"/>
    <w:rsid w:val="00555E6C"/>
    <w:rsid w:val="00572E5B"/>
    <w:rsid w:val="005730E1"/>
    <w:rsid w:val="0057589F"/>
    <w:rsid w:val="0057790A"/>
    <w:rsid w:val="00582A9E"/>
    <w:rsid w:val="0058567D"/>
    <w:rsid w:val="005B07FC"/>
    <w:rsid w:val="005B350D"/>
    <w:rsid w:val="005B5F60"/>
    <w:rsid w:val="005B61A2"/>
    <w:rsid w:val="005B7662"/>
    <w:rsid w:val="005D2B1E"/>
    <w:rsid w:val="005D74E5"/>
    <w:rsid w:val="005E0AAB"/>
    <w:rsid w:val="005E3183"/>
    <w:rsid w:val="005E3B87"/>
    <w:rsid w:val="005E6C37"/>
    <w:rsid w:val="005F1268"/>
    <w:rsid w:val="00606B76"/>
    <w:rsid w:val="006072ED"/>
    <w:rsid w:val="006075EB"/>
    <w:rsid w:val="00614063"/>
    <w:rsid w:val="00622594"/>
    <w:rsid w:val="00624E9C"/>
    <w:rsid w:val="00630CC2"/>
    <w:rsid w:val="00644915"/>
    <w:rsid w:val="0064639A"/>
    <w:rsid w:val="0065050F"/>
    <w:rsid w:val="00650EDB"/>
    <w:rsid w:val="0066179F"/>
    <w:rsid w:val="006657FD"/>
    <w:rsid w:val="00673F97"/>
    <w:rsid w:val="0068185E"/>
    <w:rsid w:val="006821D1"/>
    <w:rsid w:val="00684E4D"/>
    <w:rsid w:val="006940EC"/>
    <w:rsid w:val="006A0E19"/>
    <w:rsid w:val="006A2F96"/>
    <w:rsid w:val="006A78EE"/>
    <w:rsid w:val="006B0E40"/>
    <w:rsid w:val="006B1B0B"/>
    <w:rsid w:val="006B3F01"/>
    <w:rsid w:val="006B41D7"/>
    <w:rsid w:val="006B4D96"/>
    <w:rsid w:val="006C12DA"/>
    <w:rsid w:val="006C7F40"/>
    <w:rsid w:val="006D0A95"/>
    <w:rsid w:val="006E4BB3"/>
    <w:rsid w:val="006E6C3A"/>
    <w:rsid w:val="006F270F"/>
    <w:rsid w:val="006F410B"/>
    <w:rsid w:val="006F7AC4"/>
    <w:rsid w:val="00701A1C"/>
    <w:rsid w:val="00702784"/>
    <w:rsid w:val="00705D1F"/>
    <w:rsid w:val="00715F96"/>
    <w:rsid w:val="00716019"/>
    <w:rsid w:val="00716A98"/>
    <w:rsid w:val="0072196B"/>
    <w:rsid w:val="007224D2"/>
    <w:rsid w:val="00723D39"/>
    <w:rsid w:val="00727399"/>
    <w:rsid w:val="00727F39"/>
    <w:rsid w:val="00730ED8"/>
    <w:rsid w:val="00733A52"/>
    <w:rsid w:val="007359CB"/>
    <w:rsid w:val="007476AF"/>
    <w:rsid w:val="007501EA"/>
    <w:rsid w:val="00766027"/>
    <w:rsid w:val="00772E4B"/>
    <w:rsid w:val="007758F9"/>
    <w:rsid w:val="00776ABC"/>
    <w:rsid w:val="007817EB"/>
    <w:rsid w:val="007879FC"/>
    <w:rsid w:val="00790F6A"/>
    <w:rsid w:val="00792F69"/>
    <w:rsid w:val="00795D3A"/>
    <w:rsid w:val="00796AD3"/>
    <w:rsid w:val="007A3BC5"/>
    <w:rsid w:val="007A602C"/>
    <w:rsid w:val="007B37C4"/>
    <w:rsid w:val="007C170F"/>
    <w:rsid w:val="007C556B"/>
    <w:rsid w:val="007D17DE"/>
    <w:rsid w:val="007D19D0"/>
    <w:rsid w:val="007D2ED7"/>
    <w:rsid w:val="007E47CF"/>
    <w:rsid w:val="007E7BBB"/>
    <w:rsid w:val="007F29B3"/>
    <w:rsid w:val="007F425A"/>
    <w:rsid w:val="007F77DA"/>
    <w:rsid w:val="00802244"/>
    <w:rsid w:val="00803E10"/>
    <w:rsid w:val="00804644"/>
    <w:rsid w:val="00814A63"/>
    <w:rsid w:val="00831D8F"/>
    <w:rsid w:val="00835E77"/>
    <w:rsid w:val="00836B55"/>
    <w:rsid w:val="008408AE"/>
    <w:rsid w:val="00841A61"/>
    <w:rsid w:val="00847CA4"/>
    <w:rsid w:val="008671EC"/>
    <w:rsid w:val="0087348A"/>
    <w:rsid w:val="00875708"/>
    <w:rsid w:val="00877A4E"/>
    <w:rsid w:val="008825FB"/>
    <w:rsid w:val="00886D00"/>
    <w:rsid w:val="00890084"/>
    <w:rsid w:val="00890D4C"/>
    <w:rsid w:val="0089122F"/>
    <w:rsid w:val="008A2CA6"/>
    <w:rsid w:val="008A3EE5"/>
    <w:rsid w:val="008A59BA"/>
    <w:rsid w:val="008A5FCE"/>
    <w:rsid w:val="008B02E4"/>
    <w:rsid w:val="008B2DCF"/>
    <w:rsid w:val="008C3F78"/>
    <w:rsid w:val="008D59BF"/>
    <w:rsid w:val="008D6103"/>
    <w:rsid w:val="008E14F1"/>
    <w:rsid w:val="008F0AD3"/>
    <w:rsid w:val="008F0B30"/>
    <w:rsid w:val="008F210D"/>
    <w:rsid w:val="008F63FC"/>
    <w:rsid w:val="00902EC2"/>
    <w:rsid w:val="00906A0A"/>
    <w:rsid w:val="00912591"/>
    <w:rsid w:val="00914BE2"/>
    <w:rsid w:val="00917A03"/>
    <w:rsid w:val="00917DA9"/>
    <w:rsid w:val="00925928"/>
    <w:rsid w:val="0092684B"/>
    <w:rsid w:val="00926891"/>
    <w:rsid w:val="00930399"/>
    <w:rsid w:val="009441C4"/>
    <w:rsid w:val="00947611"/>
    <w:rsid w:val="009501B8"/>
    <w:rsid w:val="0095126B"/>
    <w:rsid w:val="00953654"/>
    <w:rsid w:val="00956228"/>
    <w:rsid w:val="009632B4"/>
    <w:rsid w:val="00965789"/>
    <w:rsid w:val="00967E59"/>
    <w:rsid w:val="00971610"/>
    <w:rsid w:val="00971A5B"/>
    <w:rsid w:val="00973C5B"/>
    <w:rsid w:val="00994503"/>
    <w:rsid w:val="009A002D"/>
    <w:rsid w:val="009A38EE"/>
    <w:rsid w:val="009B0E05"/>
    <w:rsid w:val="009B54CE"/>
    <w:rsid w:val="009C03FE"/>
    <w:rsid w:val="009C221B"/>
    <w:rsid w:val="009C5367"/>
    <w:rsid w:val="009C74B6"/>
    <w:rsid w:val="009D1C27"/>
    <w:rsid w:val="009D1F8E"/>
    <w:rsid w:val="009D55A0"/>
    <w:rsid w:val="009D55EF"/>
    <w:rsid w:val="009D6252"/>
    <w:rsid w:val="009D7A2D"/>
    <w:rsid w:val="009D7C52"/>
    <w:rsid w:val="009E2B03"/>
    <w:rsid w:val="009E3FBB"/>
    <w:rsid w:val="009F3BEE"/>
    <w:rsid w:val="009F573F"/>
    <w:rsid w:val="009F5C86"/>
    <w:rsid w:val="00A04B21"/>
    <w:rsid w:val="00A074E9"/>
    <w:rsid w:val="00A26620"/>
    <w:rsid w:val="00A27DC5"/>
    <w:rsid w:val="00A33458"/>
    <w:rsid w:val="00A44A49"/>
    <w:rsid w:val="00A452FE"/>
    <w:rsid w:val="00A53A57"/>
    <w:rsid w:val="00A53C11"/>
    <w:rsid w:val="00A612AA"/>
    <w:rsid w:val="00A67A92"/>
    <w:rsid w:val="00A75691"/>
    <w:rsid w:val="00A769C8"/>
    <w:rsid w:val="00A80C55"/>
    <w:rsid w:val="00A903D8"/>
    <w:rsid w:val="00A91775"/>
    <w:rsid w:val="00AA0986"/>
    <w:rsid w:val="00AA1A72"/>
    <w:rsid w:val="00AA1D76"/>
    <w:rsid w:val="00AA4A99"/>
    <w:rsid w:val="00AA7242"/>
    <w:rsid w:val="00AB1FA3"/>
    <w:rsid w:val="00AB2778"/>
    <w:rsid w:val="00AB6F82"/>
    <w:rsid w:val="00AB7B36"/>
    <w:rsid w:val="00AC129D"/>
    <w:rsid w:val="00AC24F1"/>
    <w:rsid w:val="00AC254B"/>
    <w:rsid w:val="00AC38FF"/>
    <w:rsid w:val="00AC4391"/>
    <w:rsid w:val="00AD25AC"/>
    <w:rsid w:val="00AD2E03"/>
    <w:rsid w:val="00AD7432"/>
    <w:rsid w:val="00AD7C39"/>
    <w:rsid w:val="00AF085A"/>
    <w:rsid w:val="00AF2213"/>
    <w:rsid w:val="00AF6A73"/>
    <w:rsid w:val="00AF7638"/>
    <w:rsid w:val="00B05A88"/>
    <w:rsid w:val="00B06630"/>
    <w:rsid w:val="00B10495"/>
    <w:rsid w:val="00B236D1"/>
    <w:rsid w:val="00B23882"/>
    <w:rsid w:val="00B266F0"/>
    <w:rsid w:val="00B3183E"/>
    <w:rsid w:val="00B36BCE"/>
    <w:rsid w:val="00B370CE"/>
    <w:rsid w:val="00B41E61"/>
    <w:rsid w:val="00B429AC"/>
    <w:rsid w:val="00B435F6"/>
    <w:rsid w:val="00B4739A"/>
    <w:rsid w:val="00B4743F"/>
    <w:rsid w:val="00B5003E"/>
    <w:rsid w:val="00B51ADA"/>
    <w:rsid w:val="00B52F24"/>
    <w:rsid w:val="00B5487A"/>
    <w:rsid w:val="00B627B0"/>
    <w:rsid w:val="00B74FFB"/>
    <w:rsid w:val="00B82125"/>
    <w:rsid w:val="00BA3279"/>
    <w:rsid w:val="00BA54AF"/>
    <w:rsid w:val="00BA5B6A"/>
    <w:rsid w:val="00BA5F7E"/>
    <w:rsid w:val="00BB1431"/>
    <w:rsid w:val="00BB1A1F"/>
    <w:rsid w:val="00BB5780"/>
    <w:rsid w:val="00BB7B94"/>
    <w:rsid w:val="00BB7E88"/>
    <w:rsid w:val="00BD19E7"/>
    <w:rsid w:val="00BD223F"/>
    <w:rsid w:val="00BD41D5"/>
    <w:rsid w:val="00BD7045"/>
    <w:rsid w:val="00BE37DA"/>
    <w:rsid w:val="00BE792F"/>
    <w:rsid w:val="00BF31D5"/>
    <w:rsid w:val="00BF63A8"/>
    <w:rsid w:val="00C02558"/>
    <w:rsid w:val="00C02C88"/>
    <w:rsid w:val="00C03FE8"/>
    <w:rsid w:val="00C102D6"/>
    <w:rsid w:val="00C10E51"/>
    <w:rsid w:val="00C13A65"/>
    <w:rsid w:val="00C15187"/>
    <w:rsid w:val="00C21094"/>
    <w:rsid w:val="00C30BE6"/>
    <w:rsid w:val="00C314B0"/>
    <w:rsid w:val="00C33405"/>
    <w:rsid w:val="00C36C20"/>
    <w:rsid w:val="00C41EF4"/>
    <w:rsid w:val="00C42053"/>
    <w:rsid w:val="00C45690"/>
    <w:rsid w:val="00C477D0"/>
    <w:rsid w:val="00C5016A"/>
    <w:rsid w:val="00C518CC"/>
    <w:rsid w:val="00C524C4"/>
    <w:rsid w:val="00C600E1"/>
    <w:rsid w:val="00C714AA"/>
    <w:rsid w:val="00C905A2"/>
    <w:rsid w:val="00C91E83"/>
    <w:rsid w:val="00C92A6E"/>
    <w:rsid w:val="00C97418"/>
    <w:rsid w:val="00CA01E5"/>
    <w:rsid w:val="00CA446F"/>
    <w:rsid w:val="00CA68AD"/>
    <w:rsid w:val="00CB1972"/>
    <w:rsid w:val="00CB6D04"/>
    <w:rsid w:val="00CC19E7"/>
    <w:rsid w:val="00CC2404"/>
    <w:rsid w:val="00CD088C"/>
    <w:rsid w:val="00CD52E7"/>
    <w:rsid w:val="00CD7095"/>
    <w:rsid w:val="00CE0357"/>
    <w:rsid w:val="00CE0DDF"/>
    <w:rsid w:val="00CE1950"/>
    <w:rsid w:val="00CE2D14"/>
    <w:rsid w:val="00CE66FC"/>
    <w:rsid w:val="00CE723C"/>
    <w:rsid w:val="00CF6C52"/>
    <w:rsid w:val="00D03704"/>
    <w:rsid w:val="00D05BF2"/>
    <w:rsid w:val="00D0665A"/>
    <w:rsid w:val="00D21FA2"/>
    <w:rsid w:val="00D2238E"/>
    <w:rsid w:val="00D26AEA"/>
    <w:rsid w:val="00D26D9F"/>
    <w:rsid w:val="00D32AAF"/>
    <w:rsid w:val="00D36A1B"/>
    <w:rsid w:val="00D371FF"/>
    <w:rsid w:val="00D44894"/>
    <w:rsid w:val="00D544D1"/>
    <w:rsid w:val="00D56B55"/>
    <w:rsid w:val="00D61501"/>
    <w:rsid w:val="00D6189B"/>
    <w:rsid w:val="00D63618"/>
    <w:rsid w:val="00D75BFA"/>
    <w:rsid w:val="00D803AE"/>
    <w:rsid w:val="00D86F1F"/>
    <w:rsid w:val="00D87270"/>
    <w:rsid w:val="00D96754"/>
    <w:rsid w:val="00DA7486"/>
    <w:rsid w:val="00DB4897"/>
    <w:rsid w:val="00DC7767"/>
    <w:rsid w:val="00DC7A9D"/>
    <w:rsid w:val="00DD2B61"/>
    <w:rsid w:val="00DD5450"/>
    <w:rsid w:val="00DD640E"/>
    <w:rsid w:val="00DD6D48"/>
    <w:rsid w:val="00DD7D85"/>
    <w:rsid w:val="00DE687E"/>
    <w:rsid w:val="00DF0F76"/>
    <w:rsid w:val="00DF35E8"/>
    <w:rsid w:val="00DF6451"/>
    <w:rsid w:val="00DF6E92"/>
    <w:rsid w:val="00E07F37"/>
    <w:rsid w:val="00E100B5"/>
    <w:rsid w:val="00E10C0C"/>
    <w:rsid w:val="00E11975"/>
    <w:rsid w:val="00E12CE3"/>
    <w:rsid w:val="00E13568"/>
    <w:rsid w:val="00E1382D"/>
    <w:rsid w:val="00E1649B"/>
    <w:rsid w:val="00E212AE"/>
    <w:rsid w:val="00E21EFC"/>
    <w:rsid w:val="00E24886"/>
    <w:rsid w:val="00E30ACA"/>
    <w:rsid w:val="00E3562A"/>
    <w:rsid w:val="00E3628C"/>
    <w:rsid w:val="00E367A8"/>
    <w:rsid w:val="00E36B19"/>
    <w:rsid w:val="00E41DD5"/>
    <w:rsid w:val="00E42E69"/>
    <w:rsid w:val="00E4518A"/>
    <w:rsid w:val="00E4572D"/>
    <w:rsid w:val="00E53138"/>
    <w:rsid w:val="00E55F87"/>
    <w:rsid w:val="00E563F4"/>
    <w:rsid w:val="00E643A5"/>
    <w:rsid w:val="00E6770C"/>
    <w:rsid w:val="00E713F8"/>
    <w:rsid w:val="00E756A1"/>
    <w:rsid w:val="00E76C8B"/>
    <w:rsid w:val="00E77170"/>
    <w:rsid w:val="00E834CD"/>
    <w:rsid w:val="00E86136"/>
    <w:rsid w:val="00E86173"/>
    <w:rsid w:val="00E921EE"/>
    <w:rsid w:val="00E93194"/>
    <w:rsid w:val="00E95554"/>
    <w:rsid w:val="00EB2BAD"/>
    <w:rsid w:val="00EB55AF"/>
    <w:rsid w:val="00EC2F18"/>
    <w:rsid w:val="00EC7BF9"/>
    <w:rsid w:val="00EC7CF5"/>
    <w:rsid w:val="00ED1817"/>
    <w:rsid w:val="00ED5C0C"/>
    <w:rsid w:val="00ED6BF9"/>
    <w:rsid w:val="00EE184D"/>
    <w:rsid w:val="00EE2763"/>
    <w:rsid w:val="00EE32FB"/>
    <w:rsid w:val="00EE385A"/>
    <w:rsid w:val="00EF70C1"/>
    <w:rsid w:val="00EF7A31"/>
    <w:rsid w:val="00F02696"/>
    <w:rsid w:val="00F04A4F"/>
    <w:rsid w:val="00F12B0F"/>
    <w:rsid w:val="00F13913"/>
    <w:rsid w:val="00F16BD7"/>
    <w:rsid w:val="00F316F7"/>
    <w:rsid w:val="00F365C7"/>
    <w:rsid w:val="00F378EF"/>
    <w:rsid w:val="00F439AC"/>
    <w:rsid w:val="00F43A5F"/>
    <w:rsid w:val="00F4602F"/>
    <w:rsid w:val="00F5063C"/>
    <w:rsid w:val="00F515FF"/>
    <w:rsid w:val="00F52993"/>
    <w:rsid w:val="00F62BAF"/>
    <w:rsid w:val="00F6499B"/>
    <w:rsid w:val="00F66FF4"/>
    <w:rsid w:val="00F7104F"/>
    <w:rsid w:val="00F77501"/>
    <w:rsid w:val="00F913D0"/>
    <w:rsid w:val="00F95286"/>
    <w:rsid w:val="00FA39E7"/>
    <w:rsid w:val="00FB4657"/>
    <w:rsid w:val="00FB517D"/>
    <w:rsid w:val="00FB527D"/>
    <w:rsid w:val="00FB5907"/>
    <w:rsid w:val="00FC25D0"/>
    <w:rsid w:val="00FC3879"/>
    <w:rsid w:val="00FC674A"/>
    <w:rsid w:val="00FD0179"/>
    <w:rsid w:val="00FD1C44"/>
    <w:rsid w:val="00FE19FC"/>
    <w:rsid w:val="00FE60AA"/>
    <w:rsid w:val="00FF0893"/>
    <w:rsid w:val="00FF1F10"/>
    <w:rsid w:val="00FF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832EA3"/>
  <w15:docId w15:val="{53E2A9D0-F24D-4413-9F4C-6945C5CB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503"/>
  </w:style>
  <w:style w:type="paragraph" w:styleId="Heading1">
    <w:name w:val="heading 1"/>
    <w:aliases w:val="[F] H1"/>
    <w:basedOn w:val="Normal"/>
    <w:next w:val="Normal"/>
    <w:link w:val="Heading1Char"/>
    <w:uiPriority w:val="9"/>
    <w:qFormat/>
    <w:rsid w:val="00F43A5F"/>
    <w:pPr>
      <w:keepNext/>
      <w:keepLines/>
      <w:numPr>
        <w:numId w:val="1"/>
      </w:numPr>
      <w:spacing w:before="240" w:after="0" w:line="259" w:lineRule="auto"/>
      <w:jc w:val="both"/>
      <w:outlineLvl w:val="0"/>
    </w:pPr>
    <w:rPr>
      <w:rFonts w:ascii="Rajdhani Semibold" w:eastAsiaTheme="majorEastAsia" w:hAnsi="Rajdhani Semibold" w:cs="Rajdhani Semibold"/>
      <w:sz w:val="32"/>
      <w:szCs w:val="32"/>
      <w:lang w:val="en-GB"/>
    </w:rPr>
  </w:style>
  <w:style w:type="paragraph" w:styleId="Heading2">
    <w:name w:val="heading 2"/>
    <w:aliases w:val="[F] H2"/>
    <w:basedOn w:val="Normal"/>
    <w:next w:val="Normal"/>
    <w:link w:val="Heading2Char"/>
    <w:uiPriority w:val="9"/>
    <w:unhideWhenUsed/>
    <w:qFormat/>
    <w:rsid w:val="00F43A5F"/>
    <w:pPr>
      <w:keepNext/>
      <w:keepLines/>
      <w:numPr>
        <w:ilvl w:val="1"/>
        <w:numId w:val="1"/>
      </w:numPr>
      <w:spacing w:before="120" w:after="120" w:line="259" w:lineRule="auto"/>
      <w:jc w:val="both"/>
      <w:outlineLvl w:val="1"/>
    </w:pPr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paragraph" w:styleId="Heading3">
    <w:name w:val="heading 3"/>
    <w:aliases w:val="[F] H3"/>
    <w:basedOn w:val="Normal"/>
    <w:next w:val="Normal"/>
    <w:link w:val="Heading3Char"/>
    <w:uiPriority w:val="9"/>
    <w:unhideWhenUsed/>
    <w:qFormat/>
    <w:rsid w:val="00F43A5F"/>
    <w:pPr>
      <w:keepNext/>
      <w:keepLines/>
      <w:numPr>
        <w:ilvl w:val="2"/>
        <w:numId w:val="1"/>
      </w:numPr>
      <w:spacing w:before="160" w:after="120" w:line="259" w:lineRule="auto"/>
      <w:jc w:val="both"/>
      <w:outlineLvl w:val="2"/>
    </w:pPr>
    <w:rPr>
      <w:rFonts w:ascii="Rajdhani Semibold" w:eastAsiaTheme="majorEastAsia" w:hAnsi="Rajdhani Semibold" w:cs="Rajdhani Semibold"/>
      <w:sz w:val="24"/>
      <w:szCs w:val="24"/>
      <w:lang w:val="en-GB"/>
    </w:rPr>
  </w:style>
  <w:style w:type="paragraph" w:styleId="Heading4">
    <w:name w:val="heading 4"/>
    <w:aliases w:val="[F] H4"/>
    <w:basedOn w:val="Heading3"/>
    <w:next w:val="Normal"/>
    <w:link w:val="Heading4Char"/>
    <w:uiPriority w:val="9"/>
    <w:unhideWhenUsed/>
    <w:qFormat/>
    <w:rsid w:val="00F43A5F"/>
    <w:pPr>
      <w:numPr>
        <w:ilvl w:val="3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8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71551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7155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715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19E7"/>
    <w:pPr>
      <w:tabs>
        <w:tab w:val="center" w:pos="4320"/>
        <w:tab w:val="right" w:pos="8640"/>
      </w:tabs>
      <w:spacing w:after="0" w:line="240" w:lineRule="auto"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C19E7"/>
    <w:rPr>
      <w:rFonts w:ascii="Trebuchet MS" w:eastAsia="Times New Roman" w:hAnsi="Trebuchet MS" w:cs="Times New Roman"/>
      <w:sz w:val="20"/>
      <w:szCs w:val="20"/>
      <w:lang w:val="en-GB"/>
    </w:rPr>
  </w:style>
  <w:style w:type="paragraph" w:customStyle="1" w:styleId="Default">
    <w:name w:val="Default"/>
    <w:rsid w:val="00D05BF2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D05BF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D03704"/>
    <w:rPr>
      <w:b/>
      <w:bCs/>
    </w:rPr>
  </w:style>
  <w:style w:type="character" w:customStyle="1" w:styleId="Heading1Char">
    <w:name w:val="Heading 1 Char"/>
    <w:aliases w:val="[F] H1 Char"/>
    <w:basedOn w:val="DefaultParagraphFont"/>
    <w:link w:val="Heading1"/>
    <w:uiPriority w:val="9"/>
    <w:rsid w:val="00F43A5F"/>
    <w:rPr>
      <w:rFonts w:ascii="Rajdhani Semibold" w:eastAsiaTheme="majorEastAsia" w:hAnsi="Rajdhani Semibold" w:cs="Rajdhani Semibold"/>
      <w:sz w:val="32"/>
      <w:szCs w:val="32"/>
      <w:lang w:val="en-GB"/>
    </w:rPr>
  </w:style>
  <w:style w:type="character" w:customStyle="1" w:styleId="Heading2Char">
    <w:name w:val="Heading 2 Char"/>
    <w:aliases w:val="[F] H2 Char"/>
    <w:basedOn w:val="DefaultParagraphFont"/>
    <w:link w:val="Heading2"/>
    <w:uiPriority w:val="9"/>
    <w:rsid w:val="00F43A5F"/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character" w:customStyle="1" w:styleId="Heading3Char">
    <w:name w:val="Heading 3 Char"/>
    <w:aliases w:val="[F] H3 Char"/>
    <w:basedOn w:val="DefaultParagraphFont"/>
    <w:link w:val="Heading3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Heading4Char">
    <w:name w:val="Heading 4 Char"/>
    <w:aliases w:val="[F] H4 Char"/>
    <w:basedOn w:val="DefaultParagraphFont"/>
    <w:link w:val="Heading4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Title2Char">
    <w:name w:val="Title 2 Char"/>
    <w:basedOn w:val="DefaultParagraphFont"/>
    <w:link w:val="Title2"/>
    <w:locked/>
    <w:rsid w:val="00F43A5F"/>
    <w:rPr>
      <w:rFonts w:ascii="Rajdhani" w:eastAsiaTheme="majorEastAsia" w:hAnsi="Rajdhani" w:cstheme="majorBidi"/>
      <w:b/>
      <w:spacing w:val="-10"/>
      <w:kern w:val="28"/>
      <w:sz w:val="44"/>
      <w:szCs w:val="44"/>
    </w:rPr>
  </w:style>
  <w:style w:type="paragraph" w:customStyle="1" w:styleId="Title2">
    <w:name w:val="Title 2"/>
    <w:basedOn w:val="Title"/>
    <w:link w:val="Title2Char"/>
    <w:qFormat/>
    <w:rsid w:val="00F43A5F"/>
    <w:pPr>
      <w:spacing w:before="120" w:line="276" w:lineRule="auto"/>
      <w:jc w:val="both"/>
    </w:pPr>
    <w:rPr>
      <w:rFonts w:ascii="Rajdhani" w:hAnsi="Rajdhani"/>
      <w:b/>
      <w:sz w:val="44"/>
      <w:szCs w:val="44"/>
    </w:rPr>
  </w:style>
  <w:style w:type="paragraph" w:styleId="Title">
    <w:name w:val="Title"/>
    <w:basedOn w:val="Normal"/>
    <w:next w:val="Normal"/>
    <w:link w:val="TitleChar"/>
    <w:uiPriority w:val="10"/>
    <w:qFormat/>
    <w:rsid w:val="00F43A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3A5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15" ma:contentTypeDescription="Create a new document." ma:contentTypeScope="" ma:versionID="a34187cab06abf82d281738e0c1b5f9a">
  <xsd:schema xmlns:xsd="http://www.w3.org/2001/XMLSchema" xmlns:xs="http://www.w3.org/2001/XMLSchema" xmlns:p="http://schemas.microsoft.com/office/2006/metadata/properties" xmlns:ns2="394d8203-4eba-47b9-82f0-06811e3cd0ce" xmlns:ns3="6d10c29a-790e-4860-b978-88be68d36285" targetNamespace="http://schemas.microsoft.com/office/2006/metadata/properties" ma:root="true" ma:fieldsID="6f94d546d9c2eedd466ab5bbf555004a" ns2:_="" ns3:_="">
    <xsd:import namespace="394d8203-4eba-47b9-82f0-06811e3cd0ce"/>
    <xsd:import namespace="6d10c29a-790e-4860-b978-88be68d362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0c29a-790e-4860-b978-88be68d3628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CE809-DF8C-446C-BBAE-677C118DC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B3AAFC-9F62-479E-8323-5DF2FB0BC6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3EF920-6C19-4215-B757-4C8F3C175E17}"/>
</file>

<file path=customXml/itemProps4.xml><?xml version="1.0" encoding="utf-8"?>
<ds:datastoreItem xmlns:ds="http://schemas.openxmlformats.org/officeDocument/2006/customXml" ds:itemID="{C1A39252-F0B0-48FA-B56E-552FB1008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7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GJ</dc:creator>
  <cp:lastModifiedBy>Lucy Sherburn</cp:lastModifiedBy>
  <cp:revision>264</cp:revision>
  <cp:lastPrinted>2019-01-11T16:22:00Z</cp:lastPrinted>
  <dcterms:created xsi:type="dcterms:W3CDTF">2020-09-19T17:37:00Z</dcterms:created>
  <dcterms:modified xsi:type="dcterms:W3CDTF">2020-09-21T18:19:00Z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